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146210" w14:textId="36EA6ADE" w:rsidR="007B76F5" w:rsidRPr="002E3C7A" w:rsidRDefault="002E3C7A" w:rsidP="002E3C7A">
      <w:pPr>
        <w:rPr>
          <w:b/>
          <w:color w:val="7F7F7F" w:themeColor="text1" w:themeTint="80"/>
        </w:rPr>
      </w:pPr>
      <w:r w:rsidRPr="00BF15EF">
        <w:rPr>
          <w:b/>
          <w:noProof/>
        </w:rPr>
        <w:drawing>
          <wp:anchor distT="0" distB="0" distL="114300" distR="114300" simplePos="0" relativeHeight="251659264" behindDoc="0" locked="0" layoutInCell="1" allowOverlap="1" wp14:anchorId="5BB58AED" wp14:editId="6138AC77">
            <wp:simplePos x="0" y="0"/>
            <wp:positionH relativeFrom="column">
              <wp:posOffset>-457200</wp:posOffset>
            </wp:positionH>
            <wp:positionV relativeFrom="paragraph">
              <wp:posOffset>-800100</wp:posOffset>
            </wp:positionV>
            <wp:extent cx="1485900" cy="1257300"/>
            <wp:effectExtent l="0" t="0" r="0" b="0"/>
            <wp:wrapTight wrapText="bothSides">
              <wp:wrapPolygon edited="0">
                <wp:start x="2954" y="5673"/>
                <wp:lineTo x="738" y="6545"/>
                <wp:lineTo x="738" y="13964"/>
                <wp:lineTo x="4062" y="15709"/>
                <wp:lineTo x="18462" y="15709"/>
                <wp:lineTo x="20308" y="13527"/>
                <wp:lineTo x="20677" y="6545"/>
                <wp:lineTo x="7754" y="5673"/>
                <wp:lineTo x="2954" y="5673"/>
              </wp:wrapPolygon>
            </wp:wrapTight>
            <wp:docPr id="5" name="Picture 5" descr="C:\Users\shann\AppData\Local\Microsoft\Windows\INetCacheContent.Word\familyfriendlynm-colo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nn\AppData\Local\Microsoft\Windows\INetCacheContent.Word\familyfriendlynm-color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7F7F7F" w:themeColor="text1" w:themeTint="80"/>
        </w:rPr>
        <w:t>Fa</w:t>
      </w:r>
      <w:r w:rsidR="00785DB6" w:rsidRPr="002E3C7A">
        <w:rPr>
          <w:b/>
          <w:color w:val="7F7F7F" w:themeColor="text1" w:themeTint="80"/>
        </w:rPr>
        <w:t>mily Friendly New Mexico – Business Toolkit</w:t>
      </w:r>
    </w:p>
    <w:p w14:paraId="242D0EB5" w14:textId="01728C56" w:rsidR="002E3C7A" w:rsidRPr="002E3C7A" w:rsidRDefault="00F45BAB" w:rsidP="00785DB6">
      <w:pPr>
        <w:jc w:val="center"/>
        <w:rPr>
          <w:b/>
          <w:color w:val="31849B" w:themeColor="accent5" w:themeShade="BF"/>
          <w:sz w:val="32"/>
          <w:szCs w:val="32"/>
        </w:rPr>
      </w:pPr>
      <w:r>
        <w:rPr>
          <w:b/>
          <w:color w:val="31849B" w:themeColor="accent5" w:themeShade="BF"/>
          <w:sz w:val="32"/>
          <w:szCs w:val="32"/>
        </w:rPr>
        <w:t>Wellness Programs</w:t>
      </w:r>
    </w:p>
    <w:p w14:paraId="1302E4F8" w14:textId="77777777" w:rsidR="00785DB6" w:rsidRDefault="00785DB6" w:rsidP="00785DB6">
      <w:pPr>
        <w:jc w:val="center"/>
      </w:pPr>
    </w:p>
    <w:p w14:paraId="41202FBC" w14:textId="3C53AF0A" w:rsidR="00B45430" w:rsidRPr="00B45430" w:rsidRDefault="005611FC" w:rsidP="00B45430">
      <w:pPr>
        <w:rPr>
          <w:rFonts w:eastAsia="Times New Roman" w:cs="Times New Roman"/>
          <w:b/>
          <w:shd w:val="clear" w:color="auto" w:fill="FFFFFF"/>
        </w:rPr>
      </w:pPr>
      <w:r w:rsidRPr="002E3C7A">
        <w:rPr>
          <w:b/>
          <w:color w:val="7F7F7F" w:themeColor="text1" w:themeTint="80"/>
        </w:rPr>
        <w:t>Definition</w:t>
      </w:r>
      <w:r w:rsidR="002E3C7A" w:rsidRPr="002E3C7A">
        <w:rPr>
          <w:b/>
          <w:color w:val="7F7F7F" w:themeColor="text1" w:themeTint="80"/>
        </w:rPr>
        <w:t>:</w:t>
      </w:r>
      <w:r w:rsidR="002E3C7A">
        <w:rPr>
          <w:b/>
        </w:rPr>
        <w:t xml:space="preserve"> </w:t>
      </w:r>
      <w:r w:rsidR="00B45430">
        <w:rPr>
          <w:b/>
        </w:rPr>
        <w:t>A</w:t>
      </w:r>
      <w:r w:rsidR="00B45430" w:rsidRPr="00B45430">
        <w:rPr>
          <w:rFonts w:eastAsia="Times New Roman" w:cs="Times New Roman"/>
          <w:b/>
          <w:shd w:val="clear" w:color="auto" w:fill="FFFFFF"/>
        </w:rPr>
        <w:t>n organized, employer-sponsored program that is designed to support employees (and, sometimes, their families) as they adopt and sustain behaviors that reduce health risks, improve quality of life, enhance personal effectiveness, and benefit the organization’s bottom line</w:t>
      </w:r>
      <w:r w:rsidR="00B45430" w:rsidRPr="00B45430">
        <w:rPr>
          <w:rFonts w:eastAsia="Times New Roman" w:cs="Times New Roman"/>
          <w:shd w:val="clear" w:color="auto" w:fill="FFFFFF"/>
        </w:rPr>
        <w:t xml:space="preserve"> </w:t>
      </w:r>
      <w:r w:rsidR="00B45430" w:rsidRPr="00B45430">
        <w:rPr>
          <w:rFonts w:eastAsia="Times New Roman" w:cs="Times New Roman"/>
          <w:sz w:val="20"/>
          <w:szCs w:val="20"/>
          <w:shd w:val="clear" w:color="auto" w:fill="FFFFFF"/>
        </w:rPr>
        <w:t>(Harvard Business Review, 2010)</w:t>
      </w:r>
      <w:r w:rsidR="00B45430" w:rsidRPr="00B45430">
        <w:rPr>
          <w:rFonts w:eastAsia="Times New Roman" w:cs="Times New Roman"/>
          <w:shd w:val="clear" w:color="auto" w:fill="FFFFFF"/>
        </w:rPr>
        <w:t>.</w:t>
      </w:r>
    </w:p>
    <w:p w14:paraId="09584E09" w14:textId="77777777" w:rsidR="00166BE8" w:rsidRDefault="00166BE8" w:rsidP="00785DB6"/>
    <w:p w14:paraId="0A3F30FE" w14:textId="049613BF" w:rsidR="00F905BE" w:rsidRDefault="00B45430" w:rsidP="00785DB6">
      <w:pPr>
        <w:rPr>
          <w:b/>
          <w:color w:val="7F7F7F" w:themeColor="text1" w:themeTint="80"/>
          <w:sz w:val="6"/>
          <w:szCs w:val="6"/>
        </w:rPr>
      </w:pPr>
      <w:r>
        <w:rPr>
          <w:b/>
          <w:color w:val="7F7F7F" w:themeColor="text1" w:themeTint="80"/>
          <w:sz w:val="20"/>
          <w:szCs w:val="20"/>
        </w:rPr>
        <w:t>Wellness Programs could include:</w:t>
      </w:r>
    </w:p>
    <w:p w14:paraId="0B125FE9" w14:textId="77777777" w:rsidR="004C5A5E" w:rsidRPr="004C5A5E" w:rsidRDefault="004C5A5E" w:rsidP="00785DB6">
      <w:pPr>
        <w:rPr>
          <w:b/>
          <w:color w:val="7F7F7F" w:themeColor="text1" w:themeTint="80"/>
          <w:sz w:val="6"/>
          <w:szCs w:val="6"/>
        </w:rPr>
      </w:pPr>
    </w:p>
    <w:tbl>
      <w:tblPr>
        <w:tblStyle w:val="TableGrid"/>
        <w:tblW w:w="909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718"/>
        <w:gridCol w:w="270"/>
        <w:gridCol w:w="2970"/>
        <w:gridCol w:w="270"/>
        <w:gridCol w:w="2864"/>
      </w:tblGrid>
      <w:tr w:rsidR="00B45430" w14:paraId="6B5930B9" w14:textId="77777777" w:rsidTr="00D536BF">
        <w:tc>
          <w:tcPr>
            <w:tcW w:w="2718" w:type="dxa"/>
            <w:shd w:val="clear" w:color="auto" w:fill="ACD8D8"/>
            <w:vAlign w:val="center"/>
          </w:tcPr>
          <w:p w14:paraId="2B607B55" w14:textId="6DDDEFB8" w:rsidR="00166BE8" w:rsidRDefault="00B45430" w:rsidP="00B45430">
            <w:pPr>
              <w:ind w:right="-65"/>
              <w:jc w:val="center"/>
            </w:pPr>
            <w:r>
              <w:rPr>
                <w:b/>
              </w:rPr>
              <w:t>W</w:t>
            </w:r>
            <w:r w:rsidRPr="00C837F3">
              <w:rPr>
                <w:b/>
              </w:rPr>
              <w:t>e</w:t>
            </w:r>
            <w:r>
              <w:rPr>
                <w:b/>
              </w:rPr>
              <w:t>llness assessments, screenings</w:t>
            </w:r>
            <w:r w:rsidRPr="00C837F3">
              <w:rPr>
                <w:b/>
              </w:rPr>
              <w:t>, health coaching</w:t>
            </w:r>
          </w:p>
        </w:tc>
        <w:tc>
          <w:tcPr>
            <w:tcW w:w="270" w:type="dxa"/>
            <w:tcBorders>
              <w:top w:val="nil"/>
              <w:bottom w:val="nil"/>
            </w:tcBorders>
            <w:vAlign w:val="center"/>
          </w:tcPr>
          <w:p w14:paraId="2F6833D0" w14:textId="74C6B9EA" w:rsidR="00166BE8" w:rsidRDefault="00166BE8" w:rsidP="00B45430">
            <w:pPr>
              <w:jc w:val="center"/>
            </w:pPr>
          </w:p>
        </w:tc>
        <w:tc>
          <w:tcPr>
            <w:tcW w:w="2970" w:type="dxa"/>
            <w:shd w:val="clear" w:color="auto" w:fill="ACD8D8"/>
            <w:vAlign w:val="center"/>
          </w:tcPr>
          <w:p w14:paraId="4B98746D" w14:textId="764258B5" w:rsidR="00166BE8" w:rsidRDefault="00B45430" w:rsidP="00B45430">
            <w:pPr>
              <w:jc w:val="center"/>
            </w:pPr>
            <w:r>
              <w:rPr>
                <w:b/>
              </w:rPr>
              <w:t>O</w:t>
            </w:r>
            <w:r w:rsidRPr="00C837F3">
              <w:rPr>
                <w:b/>
              </w:rPr>
              <w:t>nsite preventative care like immunizations, interventions such as smoking cessation</w:t>
            </w:r>
          </w:p>
        </w:tc>
        <w:tc>
          <w:tcPr>
            <w:tcW w:w="270" w:type="dxa"/>
            <w:tcBorders>
              <w:top w:val="nil"/>
              <w:bottom w:val="nil"/>
            </w:tcBorders>
            <w:vAlign w:val="center"/>
          </w:tcPr>
          <w:p w14:paraId="32B7467A" w14:textId="5C4EFD8F" w:rsidR="00166BE8" w:rsidRDefault="00166BE8" w:rsidP="00B45430">
            <w:pPr>
              <w:jc w:val="center"/>
            </w:pPr>
          </w:p>
        </w:tc>
        <w:tc>
          <w:tcPr>
            <w:tcW w:w="2864" w:type="dxa"/>
            <w:shd w:val="clear" w:color="auto" w:fill="ACD8D8"/>
            <w:vAlign w:val="center"/>
          </w:tcPr>
          <w:p w14:paraId="3C1777BC" w14:textId="6A520320" w:rsidR="00166BE8" w:rsidRPr="00B45430" w:rsidRDefault="00B45430" w:rsidP="00B45430">
            <w:pPr>
              <w:jc w:val="center"/>
              <w:rPr>
                <w:b/>
              </w:rPr>
            </w:pPr>
            <w:r>
              <w:rPr>
                <w:b/>
              </w:rPr>
              <w:t>O</w:t>
            </w:r>
            <w:r w:rsidRPr="00C837F3">
              <w:rPr>
                <w:b/>
              </w:rPr>
              <w:t>rganized wellness activities, incentive and /or paid time off for wellness activities</w:t>
            </w:r>
          </w:p>
        </w:tc>
      </w:tr>
    </w:tbl>
    <w:p w14:paraId="794ABC1E" w14:textId="77777777" w:rsidR="00166BE8" w:rsidRPr="002E3C7A" w:rsidRDefault="00166BE8" w:rsidP="00785DB6"/>
    <w:p w14:paraId="62B87694" w14:textId="77777777" w:rsidR="00C837F3" w:rsidRPr="006F6FCD" w:rsidRDefault="00C837F3" w:rsidP="00C837F3">
      <w:pPr>
        <w:rPr>
          <w:b/>
        </w:rPr>
      </w:pPr>
      <w:r w:rsidRPr="00842D50">
        <w:rPr>
          <w:b/>
        </w:rPr>
        <w:t>What are the benefits</w:t>
      </w:r>
      <w:r>
        <w:rPr>
          <w:b/>
        </w:rPr>
        <w:t xml:space="preserve"> of offering </w:t>
      </w:r>
      <w:r w:rsidRPr="006F6FCD">
        <w:rPr>
          <w:b/>
        </w:rPr>
        <w:t xml:space="preserve">Wellness </w:t>
      </w:r>
      <w:r>
        <w:rPr>
          <w:b/>
        </w:rPr>
        <w:t xml:space="preserve">Programs / </w:t>
      </w:r>
      <w:r w:rsidRPr="006F6FCD">
        <w:rPr>
          <w:b/>
        </w:rPr>
        <w:t>Policies</w:t>
      </w:r>
      <w:r>
        <w:rPr>
          <w:b/>
        </w:rPr>
        <w:t>?</w:t>
      </w:r>
    </w:p>
    <w:p w14:paraId="5612EB15" w14:textId="1E05DB8C" w:rsidR="00C837F3" w:rsidRDefault="00C837F3" w:rsidP="00C837F3">
      <w:r>
        <w:t>Wellness program can benefit employers by, lowering health care costs, reducing absenteeism, achieving higher employee productivity, reducing workers’ compensation and disability-related costs, reducing injuries, and improving employee morale</w:t>
      </w:r>
      <w:r w:rsidR="006C0315">
        <w:t xml:space="preserve">, retention, </w:t>
      </w:r>
      <w:r>
        <w:t>and loyalty. Most people see connectio</w:t>
      </w:r>
      <w:bookmarkStart w:id="0" w:name="_GoBack"/>
      <w:bookmarkEnd w:id="0"/>
      <w:r>
        <w:t>ns between health, happiness</w:t>
      </w:r>
      <w:r w:rsidR="000F0F50">
        <w:t>,</w:t>
      </w:r>
      <w:r>
        <w:t xml:space="preserve"> and productivity at work. Companies can help foster all three through a corporate wellness program. </w:t>
      </w:r>
    </w:p>
    <w:p w14:paraId="31A62D51" w14:textId="77777777" w:rsidR="00C837F3" w:rsidRDefault="00C837F3" w:rsidP="00C837F3"/>
    <w:p w14:paraId="59A9E887" w14:textId="2ED161EA" w:rsidR="00C837F3" w:rsidRPr="00C837F3" w:rsidRDefault="00C837F3" w:rsidP="00C837F3">
      <w:pPr>
        <w:rPr>
          <w:b/>
        </w:rPr>
      </w:pPr>
      <w:r w:rsidRPr="00C837F3">
        <w:rPr>
          <w:b/>
        </w:rPr>
        <w:t>The CDC’s Workplace Health Research Network outlines components of a comprehensive wellness program:</w:t>
      </w:r>
    </w:p>
    <w:p w14:paraId="664A57EF" w14:textId="77777777" w:rsidR="00C837F3" w:rsidRDefault="00C837F3" w:rsidP="00C837F3">
      <w:pPr>
        <w:pStyle w:val="ListParagraph"/>
        <w:numPr>
          <w:ilvl w:val="0"/>
          <w:numId w:val="4"/>
        </w:numPr>
      </w:pPr>
      <w:r>
        <w:t>Programs are practical and accessible</w:t>
      </w:r>
    </w:p>
    <w:p w14:paraId="4D1C644F" w14:textId="77777777" w:rsidR="00C837F3" w:rsidRDefault="00C837F3" w:rsidP="00C837F3">
      <w:pPr>
        <w:pStyle w:val="ListParagraph"/>
        <w:numPr>
          <w:ilvl w:val="0"/>
          <w:numId w:val="4"/>
        </w:numPr>
      </w:pPr>
      <w:r>
        <w:t>The work environment is health-conscious</w:t>
      </w:r>
    </w:p>
    <w:p w14:paraId="55410789" w14:textId="77777777" w:rsidR="00C837F3" w:rsidRDefault="00C837F3" w:rsidP="00C837F3">
      <w:pPr>
        <w:pStyle w:val="ListParagraph"/>
        <w:numPr>
          <w:ilvl w:val="0"/>
          <w:numId w:val="4"/>
        </w:numPr>
      </w:pPr>
      <w:r>
        <w:t>Wellness is integrated into the company’s structure</w:t>
      </w:r>
    </w:p>
    <w:p w14:paraId="3ACAEEA2" w14:textId="77777777" w:rsidR="00C837F3" w:rsidRDefault="00C837F3" w:rsidP="00C837F3">
      <w:pPr>
        <w:pStyle w:val="ListParagraph"/>
        <w:numPr>
          <w:ilvl w:val="0"/>
          <w:numId w:val="4"/>
        </w:numPr>
      </w:pPr>
      <w:r>
        <w:t>Wellness is linked to existing support programs</w:t>
      </w:r>
    </w:p>
    <w:p w14:paraId="16318ADB" w14:textId="77777777" w:rsidR="00C837F3" w:rsidRDefault="00C837F3" w:rsidP="00C837F3">
      <w:pPr>
        <w:pStyle w:val="ListParagraph"/>
        <w:numPr>
          <w:ilvl w:val="0"/>
          <w:numId w:val="4"/>
        </w:numPr>
      </w:pPr>
      <w:r>
        <w:t>Health screenings and education are offered</w:t>
      </w:r>
    </w:p>
    <w:p w14:paraId="05A8AA69" w14:textId="77777777" w:rsidR="00C837F3" w:rsidRPr="00A34D6B" w:rsidRDefault="00C837F3" w:rsidP="00C837F3">
      <w:pPr>
        <w:rPr>
          <w:sz w:val="20"/>
          <w:szCs w:val="20"/>
        </w:rPr>
      </w:pPr>
      <w:r w:rsidRPr="00A34D6B">
        <w:rPr>
          <w:sz w:val="20"/>
          <w:szCs w:val="20"/>
        </w:rPr>
        <w:t xml:space="preserve">SOURCE: </w:t>
      </w:r>
      <w:hyperlink r:id="rId9" w:history="1">
        <w:r w:rsidRPr="00A34D6B">
          <w:rPr>
            <w:rStyle w:val="Hyperlink"/>
            <w:sz w:val="20"/>
            <w:szCs w:val="20"/>
          </w:rPr>
          <w:t>http://fortune.com/2015/04/13/corporate-wellness/</w:t>
        </w:r>
      </w:hyperlink>
      <w:r w:rsidRPr="00A34D6B">
        <w:rPr>
          <w:sz w:val="20"/>
          <w:szCs w:val="20"/>
        </w:rPr>
        <w:t xml:space="preserve"> </w:t>
      </w:r>
    </w:p>
    <w:p w14:paraId="329E301F" w14:textId="77777777" w:rsidR="00C837F3" w:rsidRDefault="00C837F3" w:rsidP="00C837F3"/>
    <w:p w14:paraId="7F61D8A1" w14:textId="4071DDEA" w:rsidR="002E3C7A" w:rsidRPr="002E3C7A" w:rsidRDefault="000F0F50" w:rsidP="002E3C7A">
      <w:pPr>
        <w:rPr>
          <w:b/>
        </w:rPr>
      </w:pPr>
      <w:r>
        <w:rPr>
          <w:b/>
        </w:rPr>
        <w:t>How can e</w:t>
      </w:r>
      <w:r w:rsidR="002E3C7A" w:rsidRPr="002E3C7A">
        <w:rPr>
          <w:b/>
        </w:rPr>
        <w:t>mpl</w:t>
      </w:r>
      <w:r w:rsidR="006C0315">
        <w:rPr>
          <w:b/>
        </w:rPr>
        <w:t>oyers</w:t>
      </w:r>
      <w:r>
        <w:rPr>
          <w:b/>
        </w:rPr>
        <w:t xml:space="preserve"> help?</w:t>
      </w:r>
    </w:p>
    <w:p w14:paraId="11D7AB4C" w14:textId="77777777" w:rsidR="000F0F50" w:rsidRDefault="000F0F50" w:rsidP="000F0F50">
      <w:r>
        <w:t>The Society for Human Resource Management (SHRM) suggests companies conduct specific research and planning before implementing wellness programs. Some basic steps companies can follow to put a wellness program in place are as follows:</w:t>
      </w:r>
    </w:p>
    <w:p w14:paraId="19D33737" w14:textId="77777777" w:rsidR="000F0F50" w:rsidRDefault="000F0F50" w:rsidP="000F0F50">
      <w:pPr>
        <w:pStyle w:val="ListParagraph"/>
        <w:numPr>
          <w:ilvl w:val="0"/>
          <w:numId w:val="3"/>
        </w:numPr>
      </w:pPr>
      <w:r>
        <w:t>Establish the goal of the wellness program.</w:t>
      </w:r>
    </w:p>
    <w:p w14:paraId="56F9F0BA" w14:textId="77777777" w:rsidR="000F0F50" w:rsidRDefault="000F0F50" w:rsidP="000F0F50">
      <w:pPr>
        <w:pStyle w:val="ListParagraph"/>
        <w:numPr>
          <w:ilvl w:val="0"/>
          <w:numId w:val="3"/>
        </w:numPr>
      </w:pPr>
      <w:r>
        <w:t>Decide the company’s level of involvement in the program.</w:t>
      </w:r>
    </w:p>
    <w:p w14:paraId="4D94EECE" w14:textId="77777777" w:rsidR="000F0F50" w:rsidRDefault="000F0F50" w:rsidP="000F0F50">
      <w:pPr>
        <w:pStyle w:val="ListParagraph"/>
        <w:numPr>
          <w:ilvl w:val="0"/>
          <w:numId w:val="3"/>
        </w:numPr>
      </w:pPr>
      <w:r>
        <w:t>Establish the budget and expected return on investment.</w:t>
      </w:r>
    </w:p>
    <w:p w14:paraId="659A2981" w14:textId="77777777" w:rsidR="000F0F50" w:rsidRDefault="000F0F50" w:rsidP="000F0F50">
      <w:pPr>
        <w:pStyle w:val="ListParagraph"/>
        <w:numPr>
          <w:ilvl w:val="0"/>
          <w:numId w:val="3"/>
        </w:numPr>
      </w:pPr>
      <w:r>
        <w:t>Choose employee rewards.</w:t>
      </w:r>
    </w:p>
    <w:p w14:paraId="66371D71" w14:textId="77777777" w:rsidR="000F0F50" w:rsidRDefault="000F0F50" w:rsidP="000F0F50">
      <w:pPr>
        <w:pStyle w:val="ListParagraph"/>
        <w:numPr>
          <w:ilvl w:val="0"/>
          <w:numId w:val="3"/>
        </w:numPr>
      </w:pPr>
      <w:r>
        <w:t xml:space="preserve">Write and communicate the policy/program to employees. </w:t>
      </w:r>
    </w:p>
    <w:p w14:paraId="6B71613F" w14:textId="77777777" w:rsidR="000F0F50" w:rsidRPr="006F6FCD" w:rsidRDefault="000F0F50" w:rsidP="000F0F50">
      <w:pPr>
        <w:rPr>
          <w:sz w:val="20"/>
          <w:szCs w:val="20"/>
        </w:rPr>
      </w:pPr>
      <w:r w:rsidRPr="006F6FCD">
        <w:rPr>
          <w:sz w:val="20"/>
          <w:szCs w:val="20"/>
        </w:rPr>
        <w:t xml:space="preserve">SOURCE: </w:t>
      </w:r>
      <w:hyperlink r:id="rId10" w:history="1">
        <w:r w:rsidRPr="006F6FCD">
          <w:rPr>
            <w:rStyle w:val="Hyperlink"/>
            <w:sz w:val="20"/>
            <w:szCs w:val="20"/>
          </w:rPr>
          <w:t>https://www.shrm.org/resourcesandtools/tools-and-samples/hr-qa/pages/wellnessprogramscontributingtotheemployer%E2%80%99sbottomline.aspx</w:t>
        </w:r>
      </w:hyperlink>
    </w:p>
    <w:p w14:paraId="7FEAAEE3" w14:textId="6334BA00" w:rsidR="00B8203E" w:rsidRDefault="00B8203E" w:rsidP="002E3C7A">
      <w:r>
        <w:br w:type="page"/>
      </w:r>
    </w:p>
    <w:p w14:paraId="78D07ABF" w14:textId="77777777" w:rsidR="002E3C7A" w:rsidRDefault="002E3C7A" w:rsidP="002E3C7A"/>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908"/>
        <w:gridCol w:w="6948"/>
      </w:tblGrid>
      <w:tr w:rsidR="005F74A9" w:rsidRPr="00C02AED" w14:paraId="1043A251" w14:textId="77777777" w:rsidTr="00B75AF3">
        <w:tc>
          <w:tcPr>
            <w:tcW w:w="8856" w:type="dxa"/>
            <w:gridSpan w:val="2"/>
            <w:shd w:val="clear" w:color="auto" w:fill="ACD8D8"/>
          </w:tcPr>
          <w:p w14:paraId="600DE629" w14:textId="3E1507B6" w:rsidR="005F74A9" w:rsidRPr="007A134A" w:rsidRDefault="005F74A9" w:rsidP="00C837F3">
            <w:pPr>
              <w:jc w:val="center"/>
              <w:rPr>
                <w:b/>
              </w:rPr>
            </w:pPr>
            <w:r>
              <w:rPr>
                <w:b/>
              </w:rPr>
              <w:t>Sample</w:t>
            </w:r>
            <w:r w:rsidRPr="007A134A">
              <w:rPr>
                <w:b/>
              </w:rPr>
              <w:t xml:space="preserve"> </w:t>
            </w:r>
            <w:r w:rsidR="00C837F3">
              <w:rPr>
                <w:b/>
              </w:rPr>
              <w:t>Wellness Program</w:t>
            </w:r>
            <w:r w:rsidRPr="007A134A">
              <w:rPr>
                <w:b/>
              </w:rPr>
              <w:t xml:space="preserve"> Policies</w:t>
            </w:r>
          </w:p>
        </w:tc>
      </w:tr>
      <w:tr w:rsidR="005F74A9" w:rsidRPr="00C02AED" w14:paraId="09CB92F6" w14:textId="77777777" w:rsidTr="00B75AF3">
        <w:tc>
          <w:tcPr>
            <w:tcW w:w="1908" w:type="dxa"/>
            <w:vAlign w:val="center"/>
          </w:tcPr>
          <w:p w14:paraId="0DB6B4BA" w14:textId="4AA805EF" w:rsidR="005F74A9" w:rsidRDefault="00B8203E" w:rsidP="00B75AF3">
            <w:pPr>
              <w:jc w:val="center"/>
              <w:rPr>
                <w:b/>
              </w:rPr>
            </w:pPr>
            <w:r>
              <w:rPr>
                <w:b/>
              </w:rPr>
              <w:t>Wellness Policies</w:t>
            </w:r>
          </w:p>
          <w:p w14:paraId="353FF8FF" w14:textId="77777777" w:rsidR="005F74A9" w:rsidRPr="00C02AED" w:rsidRDefault="005F74A9" w:rsidP="00B75AF3">
            <w:pPr>
              <w:jc w:val="center"/>
              <w:rPr>
                <w:b/>
              </w:rPr>
            </w:pPr>
          </w:p>
        </w:tc>
        <w:tc>
          <w:tcPr>
            <w:tcW w:w="6948" w:type="dxa"/>
          </w:tcPr>
          <w:p w14:paraId="1F8C2275" w14:textId="2D194912" w:rsidR="005F74A9" w:rsidRDefault="005F74A9" w:rsidP="00C837F3">
            <w:pPr>
              <w:pStyle w:val="ListParagraph"/>
              <w:numPr>
                <w:ilvl w:val="0"/>
                <w:numId w:val="2"/>
              </w:numPr>
              <w:rPr>
                <w:sz w:val="22"/>
                <w:szCs w:val="22"/>
              </w:rPr>
            </w:pPr>
            <w:r>
              <w:rPr>
                <w:sz w:val="22"/>
                <w:szCs w:val="22"/>
              </w:rPr>
              <w:t xml:space="preserve">WomensHealth.gov </w:t>
            </w:r>
          </w:p>
          <w:p w14:paraId="2450D370" w14:textId="0A5B01F7" w:rsidR="0006358D" w:rsidRDefault="0006358D" w:rsidP="00C837F3">
            <w:pPr>
              <w:pStyle w:val="ListParagraph"/>
              <w:numPr>
                <w:ilvl w:val="0"/>
                <w:numId w:val="2"/>
              </w:numPr>
              <w:rPr>
                <w:sz w:val="22"/>
                <w:szCs w:val="22"/>
              </w:rPr>
            </w:pPr>
            <w:hyperlink r:id="rId11" w:history="1">
              <w:r w:rsidRPr="008C0683">
                <w:rPr>
                  <w:rStyle w:val="Hyperlink"/>
                  <w:sz w:val="22"/>
                  <w:szCs w:val="22"/>
                </w:rPr>
                <w:t>http://choosehealth.utah.gov/documents/pdfs/ACA_Booklet.pdf</w:t>
              </w:r>
            </w:hyperlink>
            <w:r>
              <w:rPr>
                <w:sz w:val="22"/>
                <w:szCs w:val="22"/>
              </w:rPr>
              <w:t xml:space="preserve"> </w:t>
            </w:r>
          </w:p>
          <w:p w14:paraId="70C0A16B" w14:textId="1FBF5AE9" w:rsidR="0006358D" w:rsidRDefault="0006358D" w:rsidP="00C837F3">
            <w:pPr>
              <w:pStyle w:val="ListParagraph"/>
              <w:numPr>
                <w:ilvl w:val="0"/>
                <w:numId w:val="2"/>
              </w:numPr>
              <w:rPr>
                <w:sz w:val="22"/>
                <w:szCs w:val="22"/>
              </w:rPr>
            </w:pPr>
            <w:hyperlink r:id="rId12" w:history="1">
              <w:r w:rsidRPr="008C0683">
                <w:rPr>
                  <w:rStyle w:val="Hyperlink"/>
                  <w:sz w:val="22"/>
                  <w:szCs w:val="22"/>
                </w:rPr>
                <w:t>http://cghealth.com/wp-content/uploads/2015/08/the-health-trust-organizational-wellness-policy.pdf</w:t>
              </w:r>
            </w:hyperlink>
          </w:p>
          <w:p w14:paraId="72C4CAD4" w14:textId="17A0D869" w:rsidR="0006358D" w:rsidRDefault="0006358D" w:rsidP="00C837F3">
            <w:pPr>
              <w:pStyle w:val="ListParagraph"/>
              <w:numPr>
                <w:ilvl w:val="0"/>
                <w:numId w:val="2"/>
              </w:numPr>
              <w:rPr>
                <w:sz w:val="22"/>
                <w:szCs w:val="22"/>
              </w:rPr>
            </w:pPr>
            <w:hyperlink r:id="rId13" w:history="1">
              <w:r w:rsidRPr="008C0683">
                <w:rPr>
                  <w:rStyle w:val="Hyperlink"/>
                  <w:sz w:val="22"/>
                  <w:szCs w:val="22"/>
                </w:rPr>
                <w:t>https://resources.workable.com/employee-wellness-policy</w:t>
              </w:r>
            </w:hyperlink>
          </w:p>
          <w:p w14:paraId="643D1707" w14:textId="77777777" w:rsidR="0006358D" w:rsidRDefault="0006358D" w:rsidP="00C837F3">
            <w:pPr>
              <w:pStyle w:val="ListParagraph"/>
              <w:numPr>
                <w:ilvl w:val="0"/>
                <w:numId w:val="2"/>
              </w:numPr>
              <w:rPr>
                <w:sz w:val="22"/>
                <w:szCs w:val="22"/>
              </w:rPr>
            </w:pPr>
          </w:p>
          <w:p w14:paraId="5E12942E" w14:textId="77777777" w:rsidR="005F74A9" w:rsidRPr="002B40F1" w:rsidRDefault="005F74A9" w:rsidP="004C5A5E">
            <w:pPr>
              <w:pStyle w:val="ListParagraph"/>
              <w:rPr>
                <w:sz w:val="22"/>
                <w:szCs w:val="22"/>
              </w:rPr>
            </w:pPr>
          </w:p>
        </w:tc>
      </w:tr>
    </w:tbl>
    <w:p w14:paraId="63C03714" w14:textId="77777777" w:rsidR="005F74A9" w:rsidRDefault="005F74A9" w:rsidP="002E3C7A"/>
    <w:p w14:paraId="61D1B092" w14:textId="77777777" w:rsidR="005F74A9" w:rsidRDefault="005F74A9" w:rsidP="002E3C7A"/>
    <w:p w14:paraId="2C347402" w14:textId="77777777" w:rsidR="00C837F3" w:rsidRPr="00B82DD0" w:rsidRDefault="00C837F3" w:rsidP="00C837F3">
      <w:pPr>
        <w:rPr>
          <w:b/>
        </w:rPr>
      </w:pPr>
      <w:r w:rsidRPr="00B82DD0">
        <w:rPr>
          <w:b/>
        </w:rPr>
        <w:t>Business Testimony for Wellness Programs</w:t>
      </w:r>
    </w:p>
    <w:p w14:paraId="73532CE4" w14:textId="77777777" w:rsidR="00C837F3" w:rsidRDefault="00C837F3" w:rsidP="00C837F3">
      <w:r>
        <w:t xml:space="preserve">Talk to </w:t>
      </w:r>
      <w:r w:rsidRPr="00B82DD0">
        <w:rPr>
          <w:highlight w:val="yellow"/>
        </w:rPr>
        <w:t xml:space="preserve">Michelle from </w:t>
      </w:r>
      <w:proofErr w:type="spellStart"/>
      <w:r w:rsidRPr="00B82DD0">
        <w:rPr>
          <w:highlight w:val="yellow"/>
        </w:rPr>
        <w:t>Nusenda</w:t>
      </w:r>
      <w:proofErr w:type="spellEnd"/>
    </w:p>
    <w:p w14:paraId="47D5B898" w14:textId="508BA7E1" w:rsidR="00C837F3" w:rsidRDefault="00C837F3" w:rsidP="00055575"/>
    <w:p w14:paraId="2AF871A0" w14:textId="77777777" w:rsidR="00B8203E" w:rsidRDefault="00B8203E" w:rsidP="00055575"/>
    <w:p w14:paraId="780EFFE7" w14:textId="77777777" w:rsidR="00055575" w:rsidRPr="00763DAA" w:rsidRDefault="00055575" w:rsidP="00055575">
      <w:pPr>
        <w:rPr>
          <w:b/>
        </w:rPr>
      </w:pPr>
      <w:r w:rsidRPr="00763DAA">
        <w:rPr>
          <w:b/>
        </w:rPr>
        <w:t>Business Checklist</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228"/>
        <w:gridCol w:w="2628"/>
      </w:tblGrid>
      <w:tr w:rsidR="00055575" w14:paraId="404DEED8" w14:textId="77777777" w:rsidTr="00055575">
        <w:tc>
          <w:tcPr>
            <w:tcW w:w="6228" w:type="dxa"/>
            <w:shd w:val="clear" w:color="auto" w:fill="E6E6E6"/>
          </w:tcPr>
          <w:p w14:paraId="727C3D39" w14:textId="2302168B" w:rsidR="00055575" w:rsidRDefault="00055575" w:rsidP="00055575">
            <w:r>
              <w:t>What are our next steps?</w:t>
            </w:r>
          </w:p>
        </w:tc>
        <w:tc>
          <w:tcPr>
            <w:tcW w:w="2628" w:type="dxa"/>
            <w:shd w:val="clear" w:color="auto" w:fill="E6E6E6"/>
          </w:tcPr>
          <w:p w14:paraId="23459ABC" w14:textId="22278659" w:rsidR="00055575" w:rsidRDefault="00055575" w:rsidP="00166BE8">
            <w:pPr>
              <w:jc w:val="center"/>
            </w:pPr>
            <w:r>
              <w:t>Who is taking the lead?</w:t>
            </w:r>
          </w:p>
        </w:tc>
      </w:tr>
      <w:tr w:rsidR="00055575" w14:paraId="11709325" w14:textId="77777777" w:rsidTr="00055575">
        <w:tc>
          <w:tcPr>
            <w:tcW w:w="6228" w:type="dxa"/>
          </w:tcPr>
          <w:p w14:paraId="0B0EEA5C" w14:textId="77777777" w:rsidR="00055575" w:rsidRDefault="00055575" w:rsidP="00166BE8">
            <w:pPr>
              <w:jc w:val="center"/>
            </w:pPr>
          </w:p>
          <w:p w14:paraId="08D0B86D" w14:textId="77777777" w:rsidR="00075C52" w:rsidRDefault="00075C52" w:rsidP="00166BE8">
            <w:pPr>
              <w:jc w:val="center"/>
            </w:pPr>
          </w:p>
        </w:tc>
        <w:tc>
          <w:tcPr>
            <w:tcW w:w="2628" w:type="dxa"/>
          </w:tcPr>
          <w:p w14:paraId="4A3FECE9" w14:textId="77777777" w:rsidR="00055575" w:rsidRDefault="00055575" w:rsidP="00166BE8">
            <w:pPr>
              <w:jc w:val="center"/>
            </w:pPr>
          </w:p>
        </w:tc>
      </w:tr>
      <w:tr w:rsidR="00055575" w14:paraId="7D2EA082" w14:textId="77777777" w:rsidTr="00055575">
        <w:tc>
          <w:tcPr>
            <w:tcW w:w="6228" w:type="dxa"/>
          </w:tcPr>
          <w:p w14:paraId="56418651" w14:textId="77777777" w:rsidR="00055575" w:rsidRDefault="00055575" w:rsidP="00166BE8">
            <w:pPr>
              <w:jc w:val="center"/>
            </w:pPr>
          </w:p>
          <w:p w14:paraId="26C9A685" w14:textId="77777777" w:rsidR="00075C52" w:rsidRDefault="00075C52" w:rsidP="00166BE8">
            <w:pPr>
              <w:jc w:val="center"/>
            </w:pPr>
          </w:p>
        </w:tc>
        <w:tc>
          <w:tcPr>
            <w:tcW w:w="2628" w:type="dxa"/>
          </w:tcPr>
          <w:p w14:paraId="2105F903" w14:textId="77777777" w:rsidR="00055575" w:rsidRDefault="00055575" w:rsidP="00166BE8">
            <w:pPr>
              <w:jc w:val="center"/>
            </w:pPr>
          </w:p>
        </w:tc>
      </w:tr>
      <w:tr w:rsidR="00055575" w14:paraId="0FCF3AD2" w14:textId="77777777" w:rsidTr="00055575">
        <w:tc>
          <w:tcPr>
            <w:tcW w:w="6228" w:type="dxa"/>
          </w:tcPr>
          <w:p w14:paraId="2ACAA26D" w14:textId="77777777" w:rsidR="00055575" w:rsidRDefault="00055575" w:rsidP="00166BE8">
            <w:pPr>
              <w:jc w:val="center"/>
            </w:pPr>
          </w:p>
          <w:p w14:paraId="00D092D1" w14:textId="77777777" w:rsidR="00075C52" w:rsidRDefault="00075C52" w:rsidP="00166BE8">
            <w:pPr>
              <w:jc w:val="center"/>
            </w:pPr>
          </w:p>
        </w:tc>
        <w:tc>
          <w:tcPr>
            <w:tcW w:w="2628" w:type="dxa"/>
          </w:tcPr>
          <w:p w14:paraId="5C9D0B81" w14:textId="77777777" w:rsidR="00055575" w:rsidRDefault="00055575" w:rsidP="00166BE8">
            <w:pPr>
              <w:jc w:val="center"/>
            </w:pPr>
          </w:p>
        </w:tc>
      </w:tr>
      <w:tr w:rsidR="00055575" w14:paraId="4589DCDF" w14:textId="77777777" w:rsidTr="00055575">
        <w:tc>
          <w:tcPr>
            <w:tcW w:w="6228" w:type="dxa"/>
          </w:tcPr>
          <w:p w14:paraId="3AC5F0A3" w14:textId="77777777" w:rsidR="00055575" w:rsidRDefault="00055575" w:rsidP="00166BE8">
            <w:pPr>
              <w:jc w:val="center"/>
            </w:pPr>
          </w:p>
          <w:p w14:paraId="1C1038E6" w14:textId="77777777" w:rsidR="00075C52" w:rsidRDefault="00075C52" w:rsidP="00166BE8">
            <w:pPr>
              <w:jc w:val="center"/>
            </w:pPr>
          </w:p>
        </w:tc>
        <w:tc>
          <w:tcPr>
            <w:tcW w:w="2628" w:type="dxa"/>
          </w:tcPr>
          <w:p w14:paraId="35638248" w14:textId="77777777" w:rsidR="00055575" w:rsidRDefault="00055575" w:rsidP="00166BE8">
            <w:pPr>
              <w:jc w:val="center"/>
            </w:pPr>
          </w:p>
        </w:tc>
      </w:tr>
    </w:tbl>
    <w:p w14:paraId="224C2F73" w14:textId="77777777" w:rsidR="00763DAA" w:rsidRDefault="00763DAA" w:rsidP="00785DB6"/>
    <w:p w14:paraId="56AD6A2A" w14:textId="77777777" w:rsidR="00075C52" w:rsidRDefault="00075C52" w:rsidP="00785DB6"/>
    <w:p w14:paraId="705DBC57" w14:textId="41908E7E" w:rsidR="005611FC" w:rsidRPr="002E3C7A" w:rsidRDefault="005611FC" w:rsidP="00785DB6">
      <w:pPr>
        <w:rPr>
          <w:b/>
          <w:sz w:val="18"/>
          <w:szCs w:val="18"/>
        </w:rPr>
      </w:pPr>
      <w:r w:rsidRPr="002E3C7A">
        <w:rPr>
          <w:b/>
          <w:sz w:val="18"/>
          <w:szCs w:val="18"/>
        </w:rPr>
        <w:t>Citations</w:t>
      </w:r>
      <w:r w:rsidR="00B8203E">
        <w:rPr>
          <w:b/>
          <w:sz w:val="18"/>
          <w:szCs w:val="18"/>
        </w:rPr>
        <w:t xml:space="preserve"> &amp; Resources</w:t>
      </w:r>
      <w:r w:rsidR="002E3C7A">
        <w:rPr>
          <w:b/>
          <w:sz w:val="18"/>
          <w:szCs w:val="18"/>
        </w:rPr>
        <w:t>:</w:t>
      </w:r>
    </w:p>
    <w:p w14:paraId="716EF2EA" w14:textId="6D6EA1EC" w:rsidR="00B45430" w:rsidRDefault="00B45430" w:rsidP="002E3C7A">
      <w:pPr>
        <w:rPr>
          <w:rFonts w:cs="Times New Roman"/>
          <w:color w:val="7F7F7F" w:themeColor="text1" w:themeTint="80"/>
          <w:sz w:val="20"/>
          <w:szCs w:val="20"/>
        </w:rPr>
      </w:pPr>
      <w:r w:rsidRPr="00B8203E">
        <w:rPr>
          <w:rFonts w:cs="Times New Roman"/>
          <w:color w:val="7F7F7F" w:themeColor="text1" w:themeTint="80"/>
          <w:sz w:val="20"/>
          <w:szCs w:val="20"/>
        </w:rPr>
        <w:t xml:space="preserve">Berry, Leonard, </w:t>
      </w:r>
      <w:proofErr w:type="spellStart"/>
      <w:r w:rsidRPr="00B8203E">
        <w:rPr>
          <w:rFonts w:cs="Times New Roman"/>
          <w:color w:val="7F7F7F" w:themeColor="text1" w:themeTint="80"/>
          <w:sz w:val="20"/>
          <w:szCs w:val="20"/>
        </w:rPr>
        <w:t>Mirabito</w:t>
      </w:r>
      <w:proofErr w:type="spellEnd"/>
      <w:r w:rsidRPr="00B8203E">
        <w:rPr>
          <w:rFonts w:cs="Times New Roman"/>
          <w:color w:val="7F7F7F" w:themeColor="text1" w:themeTint="80"/>
          <w:sz w:val="20"/>
          <w:szCs w:val="20"/>
        </w:rPr>
        <w:t xml:space="preserve">, A., </w:t>
      </w:r>
      <w:proofErr w:type="spellStart"/>
      <w:r w:rsidRPr="00B8203E">
        <w:rPr>
          <w:rFonts w:cs="Times New Roman"/>
          <w:color w:val="7F7F7F" w:themeColor="text1" w:themeTint="80"/>
          <w:sz w:val="20"/>
          <w:szCs w:val="20"/>
        </w:rPr>
        <w:t>Baun</w:t>
      </w:r>
      <w:proofErr w:type="spellEnd"/>
      <w:r w:rsidRPr="00B8203E">
        <w:rPr>
          <w:rFonts w:cs="Times New Roman"/>
          <w:color w:val="7F7F7F" w:themeColor="text1" w:themeTint="80"/>
          <w:sz w:val="20"/>
          <w:szCs w:val="20"/>
        </w:rPr>
        <w:t xml:space="preserve">, W. (2014) What’s the Hard Return on Employee Wellness Programs? </w:t>
      </w:r>
      <w:proofErr w:type="gramStart"/>
      <w:r w:rsidRPr="00B8203E">
        <w:rPr>
          <w:rFonts w:cs="Times New Roman"/>
          <w:color w:val="7F7F7F" w:themeColor="text1" w:themeTint="80"/>
          <w:sz w:val="20"/>
          <w:szCs w:val="20"/>
        </w:rPr>
        <w:t>Harvard Business Review, December 2010 Issue on Financial Management.</w:t>
      </w:r>
      <w:proofErr w:type="gramEnd"/>
      <w:r w:rsidRPr="00B8203E">
        <w:rPr>
          <w:rFonts w:cs="Times New Roman"/>
          <w:color w:val="7F7F7F" w:themeColor="text1" w:themeTint="80"/>
          <w:sz w:val="20"/>
          <w:szCs w:val="20"/>
        </w:rPr>
        <w:t xml:space="preserve"> Retrieved from: </w:t>
      </w:r>
      <w:hyperlink r:id="rId14" w:history="1">
        <w:r w:rsidRPr="00B8203E">
          <w:rPr>
            <w:rStyle w:val="Hyperlink"/>
            <w:rFonts w:cs="Times New Roman"/>
            <w:sz w:val="20"/>
            <w:szCs w:val="20"/>
          </w:rPr>
          <w:t>https://hbr.org/2010/12/whats-the-hard-return-on-employee-wellness-programs</w:t>
        </w:r>
      </w:hyperlink>
      <w:proofErr w:type="gramStart"/>
      <w:r w:rsidRPr="00B8203E">
        <w:rPr>
          <w:rFonts w:cs="Times New Roman"/>
          <w:color w:val="7F7F7F" w:themeColor="text1" w:themeTint="80"/>
          <w:sz w:val="20"/>
          <w:szCs w:val="20"/>
        </w:rPr>
        <w:t xml:space="preserve">  May</w:t>
      </w:r>
      <w:proofErr w:type="gramEnd"/>
      <w:r w:rsidRPr="00B8203E">
        <w:rPr>
          <w:rFonts w:cs="Times New Roman"/>
          <w:color w:val="7F7F7F" w:themeColor="text1" w:themeTint="80"/>
          <w:sz w:val="20"/>
          <w:szCs w:val="20"/>
        </w:rPr>
        <w:t xml:space="preserve"> 1, 2016. </w:t>
      </w:r>
    </w:p>
    <w:p w14:paraId="0D098719" w14:textId="77777777" w:rsidR="00B8203E" w:rsidRPr="00B8203E" w:rsidRDefault="00B8203E" w:rsidP="002E3C7A">
      <w:pPr>
        <w:rPr>
          <w:rFonts w:cs="Times New Roman"/>
          <w:color w:val="7F7F7F" w:themeColor="text1" w:themeTint="80"/>
          <w:sz w:val="20"/>
          <w:szCs w:val="20"/>
        </w:rPr>
      </w:pPr>
    </w:p>
    <w:p w14:paraId="6F9E4DAB" w14:textId="77777777" w:rsidR="00F70387" w:rsidRPr="00B8203E" w:rsidRDefault="00F70387" w:rsidP="00F70387">
      <w:pPr>
        <w:pStyle w:val="NormalWeb"/>
        <w:spacing w:before="0" w:beforeAutospacing="0" w:after="150" w:afterAutospacing="0"/>
        <w:rPr>
          <w:rFonts w:asciiTheme="minorHAnsi" w:hAnsiTheme="minorHAnsi"/>
          <w:color w:val="494949"/>
        </w:rPr>
      </w:pPr>
      <w:hyperlink r:id="rId15" w:history="1">
        <w:r w:rsidRPr="00B8203E">
          <w:rPr>
            <w:rStyle w:val="Strong"/>
            <w:rFonts w:asciiTheme="minorHAnsi" w:hAnsiTheme="minorHAnsi"/>
            <w:color w:val="1976D2"/>
          </w:rPr>
          <w:t>Wellness Participation Soars with Top Management Commitment</w:t>
        </w:r>
      </w:hyperlink>
      <w:r w:rsidRPr="00B8203E">
        <w:rPr>
          <w:rStyle w:val="Strong"/>
          <w:rFonts w:asciiTheme="minorHAnsi" w:hAnsiTheme="minorHAnsi"/>
          <w:color w:val="494949"/>
        </w:rPr>
        <w:t>,</w:t>
      </w:r>
      <w:r w:rsidRPr="00B8203E">
        <w:rPr>
          <w:rStyle w:val="apple-converted-space"/>
          <w:rFonts w:asciiTheme="minorHAnsi" w:hAnsiTheme="minorHAnsi"/>
          <w:b/>
          <w:bCs/>
          <w:color w:val="494949"/>
        </w:rPr>
        <w:t> </w:t>
      </w:r>
      <w:r w:rsidRPr="00B8203E">
        <w:rPr>
          <w:rFonts w:asciiTheme="minorHAnsi" w:hAnsiTheme="minorHAnsi"/>
          <w:i/>
          <w:iCs/>
          <w:color w:val="494949"/>
        </w:rPr>
        <w:t>SHRM Online</w:t>
      </w:r>
      <w:r w:rsidRPr="00B8203E">
        <w:rPr>
          <w:rStyle w:val="apple-converted-space"/>
          <w:rFonts w:asciiTheme="minorHAnsi" w:hAnsiTheme="minorHAnsi"/>
          <w:color w:val="494949"/>
        </w:rPr>
        <w:t> </w:t>
      </w:r>
      <w:r w:rsidRPr="00B8203E">
        <w:rPr>
          <w:rFonts w:asciiTheme="minorHAnsi" w:hAnsiTheme="minorHAnsi"/>
          <w:color w:val="494949"/>
        </w:rPr>
        <w:t>Benefits Discipline, March 2011</w:t>
      </w:r>
    </w:p>
    <w:p w14:paraId="271696ED" w14:textId="77777777" w:rsidR="00F70387" w:rsidRPr="00B8203E" w:rsidRDefault="00F70387" w:rsidP="00F70387">
      <w:pPr>
        <w:pStyle w:val="NormalWeb"/>
        <w:spacing w:before="0" w:beforeAutospacing="0" w:after="150" w:afterAutospacing="0"/>
        <w:rPr>
          <w:rFonts w:asciiTheme="minorHAnsi" w:hAnsiTheme="minorHAnsi"/>
          <w:color w:val="494949"/>
        </w:rPr>
      </w:pPr>
      <w:hyperlink r:id="rId16" w:tooltip="/hrdisciplines/benefits/Articles/Pages/WellnessMisunderstood.aspx" w:history="1">
        <w:r w:rsidRPr="00B8203E">
          <w:rPr>
            <w:rStyle w:val="Hyperlink"/>
            <w:rFonts w:asciiTheme="minorHAnsi" w:hAnsiTheme="minorHAnsi"/>
            <w:b/>
            <w:bCs/>
            <w:color w:val="1976D2"/>
          </w:rPr>
          <w:t>Wellness Program value Is Financially Misunderstood</w:t>
        </w:r>
      </w:hyperlink>
      <w:r w:rsidRPr="00B8203E">
        <w:rPr>
          <w:rFonts w:asciiTheme="minorHAnsi" w:hAnsiTheme="minorHAnsi"/>
          <w:color w:val="494949"/>
        </w:rPr>
        <w:t>,</w:t>
      </w:r>
      <w:r w:rsidRPr="00B8203E">
        <w:rPr>
          <w:rStyle w:val="apple-converted-space"/>
          <w:rFonts w:asciiTheme="minorHAnsi" w:hAnsiTheme="minorHAnsi"/>
          <w:color w:val="494949"/>
        </w:rPr>
        <w:t> </w:t>
      </w:r>
      <w:r w:rsidRPr="00B8203E">
        <w:rPr>
          <w:rFonts w:asciiTheme="minorHAnsi" w:hAnsiTheme="minorHAnsi"/>
          <w:i/>
          <w:iCs/>
          <w:color w:val="494949"/>
        </w:rPr>
        <w:t>SHRM Online</w:t>
      </w:r>
      <w:r w:rsidRPr="00B8203E">
        <w:rPr>
          <w:rStyle w:val="apple-converted-space"/>
          <w:rFonts w:asciiTheme="minorHAnsi" w:hAnsiTheme="minorHAnsi"/>
          <w:color w:val="494949"/>
        </w:rPr>
        <w:t> </w:t>
      </w:r>
      <w:r w:rsidRPr="00B8203E">
        <w:rPr>
          <w:rFonts w:asciiTheme="minorHAnsi" w:hAnsiTheme="minorHAnsi"/>
          <w:color w:val="494949"/>
        </w:rPr>
        <w:t>Benefits Discipline, November 2010</w:t>
      </w:r>
    </w:p>
    <w:p w14:paraId="28A8DB0A" w14:textId="77777777" w:rsidR="00F70387" w:rsidRPr="00B8203E" w:rsidRDefault="00F70387" w:rsidP="00F70387">
      <w:pPr>
        <w:pStyle w:val="NormalWeb"/>
        <w:spacing w:before="0" w:beforeAutospacing="0" w:after="150" w:afterAutospacing="0"/>
        <w:rPr>
          <w:rFonts w:asciiTheme="minorHAnsi" w:hAnsiTheme="minorHAnsi"/>
          <w:color w:val="494949"/>
        </w:rPr>
      </w:pPr>
      <w:hyperlink r:id="rId17" w:history="1">
        <w:r w:rsidRPr="00B8203E">
          <w:rPr>
            <w:rStyle w:val="Hyperlink"/>
            <w:rFonts w:asciiTheme="minorHAnsi" w:hAnsiTheme="minorHAnsi"/>
            <w:b/>
            <w:bCs/>
            <w:color w:val="1976D2"/>
          </w:rPr>
          <w:t>Heart Disease Prevention Program Saved Lives, Reduced Costs</w:t>
        </w:r>
      </w:hyperlink>
      <w:r w:rsidRPr="00B8203E">
        <w:rPr>
          <w:rFonts w:asciiTheme="minorHAnsi" w:hAnsiTheme="minorHAnsi"/>
          <w:color w:val="494949"/>
        </w:rPr>
        <w:t>,</w:t>
      </w:r>
      <w:r w:rsidRPr="00B8203E">
        <w:rPr>
          <w:rStyle w:val="apple-converted-space"/>
          <w:rFonts w:asciiTheme="minorHAnsi" w:hAnsiTheme="minorHAnsi"/>
          <w:color w:val="494949"/>
        </w:rPr>
        <w:t> </w:t>
      </w:r>
      <w:r w:rsidRPr="00B8203E">
        <w:rPr>
          <w:rFonts w:asciiTheme="minorHAnsi" w:hAnsiTheme="minorHAnsi"/>
          <w:i/>
          <w:iCs/>
          <w:color w:val="494949"/>
        </w:rPr>
        <w:t>SHRM Online</w:t>
      </w:r>
      <w:r w:rsidRPr="00B8203E">
        <w:rPr>
          <w:rStyle w:val="apple-converted-space"/>
          <w:rFonts w:asciiTheme="minorHAnsi" w:hAnsiTheme="minorHAnsi"/>
          <w:color w:val="494949"/>
        </w:rPr>
        <w:t> </w:t>
      </w:r>
      <w:r w:rsidRPr="00B8203E">
        <w:rPr>
          <w:rFonts w:asciiTheme="minorHAnsi" w:hAnsiTheme="minorHAnsi"/>
          <w:color w:val="494949"/>
        </w:rPr>
        <w:t>Benefits Discipline, November 2010</w:t>
      </w:r>
    </w:p>
    <w:p w14:paraId="70E7D969" w14:textId="77777777" w:rsidR="00F70387" w:rsidRPr="00B8203E" w:rsidRDefault="00F70387" w:rsidP="00F70387">
      <w:pPr>
        <w:pStyle w:val="NormalWeb"/>
        <w:spacing w:before="0" w:beforeAutospacing="0" w:after="150" w:afterAutospacing="0"/>
        <w:rPr>
          <w:rFonts w:asciiTheme="minorHAnsi" w:hAnsiTheme="minorHAnsi"/>
          <w:color w:val="494949"/>
        </w:rPr>
      </w:pPr>
      <w:hyperlink r:id="rId18" w:history="1">
        <w:r w:rsidRPr="00B8203E">
          <w:rPr>
            <w:rStyle w:val="Hyperlink"/>
            <w:rFonts w:asciiTheme="minorHAnsi" w:hAnsiTheme="minorHAnsi"/>
            <w:b/>
            <w:bCs/>
            <w:color w:val="1976D2"/>
          </w:rPr>
          <w:t>Wellness Programs Can Reduce Health Risks, Study Finds</w:t>
        </w:r>
      </w:hyperlink>
      <w:r w:rsidRPr="00B8203E">
        <w:rPr>
          <w:rFonts w:asciiTheme="minorHAnsi" w:hAnsiTheme="minorHAnsi"/>
          <w:color w:val="494949"/>
        </w:rPr>
        <w:t>,</w:t>
      </w:r>
      <w:r w:rsidRPr="00B8203E">
        <w:rPr>
          <w:rStyle w:val="apple-converted-space"/>
          <w:rFonts w:asciiTheme="minorHAnsi" w:hAnsiTheme="minorHAnsi"/>
          <w:color w:val="494949"/>
        </w:rPr>
        <w:t> </w:t>
      </w:r>
      <w:r w:rsidRPr="00B8203E">
        <w:rPr>
          <w:rFonts w:asciiTheme="minorHAnsi" w:hAnsiTheme="minorHAnsi"/>
          <w:i/>
          <w:iCs/>
          <w:color w:val="494949"/>
        </w:rPr>
        <w:t>SHRM Online</w:t>
      </w:r>
      <w:r w:rsidRPr="00B8203E">
        <w:rPr>
          <w:rStyle w:val="apple-converted-space"/>
          <w:rFonts w:asciiTheme="minorHAnsi" w:hAnsiTheme="minorHAnsi"/>
          <w:color w:val="494949"/>
        </w:rPr>
        <w:t> </w:t>
      </w:r>
      <w:r w:rsidRPr="00B8203E">
        <w:rPr>
          <w:rFonts w:asciiTheme="minorHAnsi" w:hAnsiTheme="minorHAnsi"/>
          <w:color w:val="494949"/>
        </w:rPr>
        <w:t>Benefits Discipline, October 2010</w:t>
      </w:r>
    </w:p>
    <w:p w14:paraId="098C75A1" w14:textId="77777777" w:rsidR="00F70387" w:rsidRPr="00B8203E" w:rsidRDefault="00F70387" w:rsidP="00F70387">
      <w:pPr>
        <w:pStyle w:val="NormalWeb"/>
        <w:spacing w:before="0" w:beforeAutospacing="0" w:after="150" w:afterAutospacing="0"/>
        <w:rPr>
          <w:rFonts w:asciiTheme="minorHAnsi" w:hAnsiTheme="minorHAnsi"/>
          <w:color w:val="494949"/>
        </w:rPr>
      </w:pPr>
      <w:hyperlink r:id="rId19" w:history="1">
        <w:r w:rsidRPr="00B8203E">
          <w:rPr>
            <w:rStyle w:val="Hyperlink"/>
            <w:rFonts w:asciiTheme="minorHAnsi" w:hAnsiTheme="minorHAnsi"/>
            <w:b/>
            <w:bCs/>
            <w:color w:val="1976D2"/>
          </w:rPr>
          <w:t>Nine-Year Study Documents Benefits of Wellness Program</w:t>
        </w:r>
      </w:hyperlink>
      <w:r w:rsidRPr="00B8203E">
        <w:rPr>
          <w:rFonts w:asciiTheme="minorHAnsi" w:hAnsiTheme="minorHAnsi"/>
          <w:color w:val="494949"/>
        </w:rPr>
        <w:t>,</w:t>
      </w:r>
      <w:r w:rsidRPr="00B8203E">
        <w:rPr>
          <w:rStyle w:val="apple-converted-space"/>
          <w:rFonts w:asciiTheme="minorHAnsi" w:hAnsiTheme="minorHAnsi"/>
          <w:color w:val="494949"/>
        </w:rPr>
        <w:t> </w:t>
      </w:r>
      <w:r w:rsidRPr="00B8203E">
        <w:rPr>
          <w:rFonts w:asciiTheme="minorHAnsi" w:hAnsiTheme="minorHAnsi"/>
          <w:i/>
          <w:iCs/>
          <w:color w:val="494949"/>
        </w:rPr>
        <w:t>HR News</w:t>
      </w:r>
      <w:r w:rsidRPr="00B8203E">
        <w:rPr>
          <w:rFonts w:asciiTheme="minorHAnsi" w:hAnsiTheme="minorHAnsi"/>
          <w:color w:val="494949"/>
        </w:rPr>
        <w:t>, September 2010</w:t>
      </w:r>
    </w:p>
    <w:p w14:paraId="6C8944ED" w14:textId="77777777" w:rsidR="00F70387" w:rsidRPr="00B8203E" w:rsidRDefault="00F70387" w:rsidP="00F70387">
      <w:pPr>
        <w:pStyle w:val="NormalWeb"/>
        <w:spacing w:before="0" w:beforeAutospacing="0" w:after="150" w:afterAutospacing="0"/>
        <w:rPr>
          <w:rFonts w:asciiTheme="minorHAnsi" w:hAnsiTheme="minorHAnsi"/>
          <w:color w:val="494949"/>
        </w:rPr>
      </w:pPr>
      <w:hyperlink r:id="rId20" w:tooltip="/hrdisciplines/benefits/Articles/Pages/HealthBenefitsROI.aspx" w:history="1">
        <w:r w:rsidRPr="00B8203E">
          <w:rPr>
            <w:rStyle w:val="Hyperlink"/>
            <w:rFonts w:asciiTheme="minorHAnsi" w:hAnsiTheme="minorHAnsi"/>
            <w:b/>
            <w:bCs/>
            <w:color w:val="1976D2"/>
          </w:rPr>
          <w:t>'Tectonic Plates' and the ROI of Health Benefit Programs</w:t>
        </w:r>
      </w:hyperlink>
      <w:r w:rsidRPr="00B8203E">
        <w:rPr>
          <w:rFonts w:asciiTheme="minorHAnsi" w:hAnsiTheme="minorHAnsi"/>
          <w:color w:val="494949"/>
        </w:rPr>
        <w:t>,</w:t>
      </w:r>
      <w:r w:rsidRPr="00B8203E">
        <w:rPr>
          <w:rStyle w:val="apple-converted-space"/>
          <w:rFonts w:asciiTheme="minorHAnsi" w:hAnsiTheme="minorHAnsi"/>
          <w:color w:val="494949"/>
        </w:rPr>
        <w:t> </w:t>
      </w:r>
      <w:r w:rsidRPr="00B8203E">
        <w:rPr>
          <w:rFonts w:asciiTheme="minorHAnsi" w:hAnsiTheme="minorHAnsi"/>
          <w:i/>
          <w:iCs/>
          <w:color w:val="494949"/>
        </w:rPr>
        <w:t>SHRM Online</w:t>
      </w:r>
      <w:r w:rsidRPr="00B8203E">
        <w:rPr>
          <w:rStyle w:val="apple-converted-space"/>
          <w:rFonts w:asciiTheme="minorHAnsi" w:hAnsiTheme="minorHAnsi"/>
          <w:color w:val="494949"/>
        </w:rPr>
        <w:t> </w:t>
      </w:r>
      <w:r w:rsidRPr="00B8203E">
        <w:rPr>
          <w:rFonts w:asciiTheme="minorHAnsi" w:hAnsiTheme="minorHAnsi"/>
          <w:color w:val="494949"/>
        </w:rPr>
        <w:t>Benefits Discipline, October 2009</w:t>
      </w:r>
    </w:p>
    <w:p w14:paraId="69263513" w14:textId="77777777" w:rsidR="00F70387" w:rsidRPr="00B8203E" w:rsidRDefault="00F70387" w:rsidP="00F70387">
      <w:pPr>
        <w:pStyle w:val="NormalWeb"/>
        <w:spacing w:before="0" w:beforeAutospacing="0" w:after="150" w:afterAutospacing="0"/>
        <w:rPr>
          <w:rFonts w:asciiTheme="minorHAnsi" w:hAnsiTheme="minorHAnsi"/>
          <w:color w:val="494949"/>
        </w:rPr>
      </w:pPr>
      <w:hyperlink r:id="rId21" w:tooltip="/Publications/hrmagazine/EditorialContent/Pages/0608wells.aspx" w:history="1">
        <w:r w:rsidRPr="00B8203E">
          <w:rPr>
            <w:rStyle w:val="Hyperlink"/>
            <w:rFonts w:asciiTheme="minorHAnsi" w:hAnsiTheme="minorHAnsi"/>
            <w:b/>
            <w:bCs/>
            <w:color w:val="1976D2"/>
          </w:rPr>
          <w:t>Finding Wellness's Return on Investment</w:t>
        </w:r>
      </w:hyperlink>
      <w:r w:rsidRPr="00B8203E">
        <w:rPr>
          <w:rFonts w:asciiTheme="minorHAnsi" w:hAnsiTheme="minorHAnsi"/>
          <w:color w:val="494949"/>
        </w:rPr>
        <w:t>,</w:t>
      </w:r>
      <w:r w:rsidRPr="00B8203E">
        <w:rPr>
          <w:rStyle w:val="apple-converted-space"/>
          <w:rFonts w:asciiTheme="minorHAnsi" w:hAnsiTheme="minorHAnsi"/>
          <w:color w:val="494949"/>
        </w:rPr>
        <w:t> </w:t>
      </w:r>
      <w:r w:rsidRPr="00B8203E">
        <w:rPr>
          <w:rFonts w:asciiTheme="minorHAnsi" w:hAnsiTheme="minorHAnsi"/>
          <w:i/>
          <w:iCs/>
          <w:color w:val="494949"/>
        </w:rPr>
        <w:t>HR Magazine</w:t>
      </w:r>
      <w:r w:rsidRPr="00B8203E">
        <w:rPr>
          <w:rFonts w:asciiTheme="minorHAnsi" w:hAnsiTheme="minorHAnsi"/>
          <w:color w:val="494949"/>
        </w:rPr>
        <w:t>, June 2008</w:t>
      </w:r>
    </w:p>
    <w:p w14:paraId="42011A5B" w14:textId="50901E1E" w:rsidR="002E3C7A" w:rsidRPr="004A7D2F" w:rsidRDefault="00F70387" w:rsidP="0053052D">
      <w:pPr>
        <w:pStyle w:val="NormalWeb"/>
        <w:spacing w:before="0" w:beforeAutospacing="0" w:after="150" w:afterAutospacing="0"/>
        <w:rPr>
          <w:color w:val="7F7F7F" w:themeColor="text1" w:themeTint="80"/>
          <w:sz w:val="18"/>
          <w:szCs w:val="18"/>
        </w:rPr>
      </w:pPr>
      <w:hyperlink r:id="rId22" w:tooltip="/hrdisciplines/benefits/Articles/Pages/CMS_020035.aspx" w:history="1">
        <w:r w:rsidRPr="00B8203E">
          <w:rPr>
            <w:rStyle w:val="Hyperlink"/>
            <w:rFonts w:asciiTheme="minorHAnsi" w:hAnsiTheme="minorHAnsi"/>
            <w:b/>
            <w:bCs/>
            <w:color w:val="1976D2"/>
          </w:rPr>
          <w:t>The ROI of Wellness Programs: From Perk to Priority Investment</w:t>
        </w:r>
      </w:hyperlink>
      <w:r w:rsidRPr="00B8203E">
        <w:rPr>
          <w:rFonts w:asciiTheme="minorHAnsi" w:hAnsiTheme="minorHAnsi"/>
          <w:color w:val="494949"/>
        </w:rPr>
        <w:t>,</w:t>
      </w:r>
      <w:r w:rsidRPr="00B8203E">
        <w:rPr>
          <w:rStyle w:val="apple-converted-space"/>
          <w:rFonts w:asciiTheme="minorHAnsi" w:hAnsiTheme="minorHAnsi"/>
          <w:color w:val="494949"/>
        </w:rPr>
        <w:t> </w:t>
      </w:r>
      <w:r w:rsidRPr="00B8203E">
        <w:rPr>
          <w:rFonts w:asciiTheme="minorHAnsi" w:hAnsiTheme="minorHAnsi"/>
          <w:i/>
          <w:iCs/>
          <w:color w:val="494949"/>
        </w:rPr>
        <w:t>SHRM Online</w:t>
      </w:r>
      <w:r w:rsidRPr="00B8203E">
        <w:rPr>
          <w:rStyle w:val="apple-converted-space"/>
          <w:rFonts w:asciiTheme="minorHAnsi" w:hAnsiTheme="minorHAnsi"/>
          <w:color w:val="494949"/>
        </w:rPr>
        <w:t> </w:t>
      </w:r>
      <w:r w:rsidRPr="00B8203E">
        <w:rPr>
          <w:rFonts w:asciiTheme="minorHAnsi" w:hAnsiTheme="minorHAnsi"/>
          <w:color w:val="494949"/>
        </w:rPr>
        <w:t>Benefits Discipline, January 2007</w:t>
      </w:r>
    </w:p>
    <w:sectPr w:rsidR="002E3C7A" w:rsidRPr="004A7D2F" w:rsidSect="00075C52">
      <w:headerReference w:type="default" r:id="rId23"/>
      <w:pgSz w:w="12240" w:h="15840"/>
      <w:pgMar w:top="1440" w:right="1512" w:bottom="1224" w:left="151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0B0D80" w14:textId="77777777" w:rsidR="00F70387" w:rsidRDefault="00F70387" w:rsidP="00785DB6">
      <w:r>
        <w:separator/>
      </w:r>
    </w:p>
  </w:endnote>
  <w:endnote w:type="continuationSeparator" w:id="0">
    <w:p w14:paraId="232F1359" w14:textId="77777777" w:rsidR="00F70387" w:rsidRDefault="00F70387" w:rsidP="00785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illSans">
    <w:altName w:val="Gill Sans"/>
    <w:panose1 w:val="00000000000000000000"/>
    <w:charset w:val="4D"/>
    <w:family w:val="swiss"/>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2C0918" w14:textId="77777777" w:rsidR="00F70387" w:rsidRDefault="00F70387" w:rsidP="00785DB6">
      <w:r>
        <w:separator/>
      </w:r>
    </w:p>
  </w:footnote>
  <w:footnote w:type="continuationSeparator" w:id="0">
    <w:p w14:paraId="10227963" w14:textId="77777777" w:rsidR="00F70387" w:rsidRDefault="00F70387" w:rsidP="00785DB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29F65F" w14:textId="791BB60E" w:rsidR="00F70387" w:rsidRPr="002E3C7A" w:rsidRDefault="00F70387" w:rsidP="002E3C7A">
    <w:pPr>
      <w:pStyle w:val="Header"/>
      <w:jc w:val="right"/>
      <w:rPr>
        <w:color w:val="808080" w:themeColor="background1" w:themeShade="80"/>
        <w:sz w:val="20"/>
        <w:szCs w:val="20"/>
      </w:rPr>
    </w:pPr>
    <w:r>
      <w:rPr>
        <w:color w:val="808080" w:themeColor="background1" w:themeShade="80"/>
        <w:sz w:val="20"/>
        <w:szCs w:val="20"/>
      </w:rPr>
      <w:t>DRAFT May 1</w:t>
    </w:r>
    <w:r w:rsidRPr="002E3C7A">
      <w:rPr>
        <w:color w:val="808080" w:themeColor="background1" w:themeShade="80"/>
        <w:sz w:val="20"/>
        <w:szCs w:val="20"/>
      </w:rPr>
      <w:t>, 2017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A5B2F"/>
    <w:multiLevelType w:val="hybridMultilevel"/>
    <w:tmpl w:val="A7AAA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3739EA"/>
    <w:multiLevelType w:val="hybridMultilevel"/>
    <w:tmpl w:val="5AD4D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1E76BE"/>
    <w:multiLevelType w:val="hybridMultilevel"/>
    <w:tmpl w:val="6BA04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2A262B"/>
    <w:multiLevelType w:val="hybridMultilevel"/>
    <w:tmpl w:val="F96C2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DB6"/>
    <w:rsid w:val="00055575"/>
    <w:rsid w:val="0006358D"/>
    <w:rsid w:val="00075C52"/>
    <w:rsid w:val="000E5098"/>
    <w:rsid w:val="000F0F50"/>
    <w:rsid w:val="00166BE8"/>
    <w:rsid w:val="002E3C7A"/>
    <w:rsid w:val="003257F9"/>
    <w:rsid w:val="00436874"/>
    <w:rsid w:val="00455ABE"/>
    <w:rsid w:val="004A7D2F"/>
    <w:rsid w:val="004C5A5E"/>
    <w:rsid w:val="0053052D"/>
    <w:rsid w:val="005611FC"/>
    <w:rsid w:val="005F74A9"/>
    <w:rsid w:val="006548DF"/>
    <w:rsid w:val="006C0315"/>
    <w:rsid w:val="00763DAA"/>
    <w:rsid w:val="00785DB6"/>
    <w:rsid w:val="007B76F5"/>
    <w:rsid w:val="00A74951"/>
    <w:rsid w:val="00B45430"/>
    <w:rsid w:val="00B75AF3"/>
    <w:rsid w:val="00B8203E"/>
    <w:rsid w:val="00BA0C87"/>
    <w:rsid w:val="00C837F3"/>
    <w:rsid w:val="00D35465"/>
    <w:rsid w:val="00D536BF"/>
    <w:rsid w:val="00D77387"/>
    <w:rsid w:val="00F45BAB"/>
    <w:rsid w:val="00F70387"/>
    <w:rsid w:val="00F905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31EA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5DB6"/>
    <w:pPr>
      <w:tabs>
        <w:tab w:val="center" w:pos="4320"/>
        <w:tab w:val="right" w:pos="8640"/>
      </w:tabs>
    </w:pPr>
  </w:style>
  <w:style w:type="character" w:customStyle="1" w:styleId="HeaderChar">
    <w:name w:val="Header Char"/>
    <w:basedOn w:val="DefaultParagraphFont"/>
    <w:link w:val="Header"/>
    <w:uiPriority w:val="99"/>
    <w:rsid w:val="00785DB6"/>
  </w:style>
  <w:style w:type="paragraph" w:styleId="Footer">
    <w:name w:val="footer"/>
    <w:basedOn w:val="Normal"/>
    <w:link w:val="FooterChar"/>
    <w:uiPriority w:val="99"/>
    <w:unhideWhenUsed/>
    <w:rsid w:val="00785DB6"/>
    <w:pPr>
      <w:tabs>
        <w:tab w:val="center" w:pos="4320"/>
        <w:tab w:val="right" w:pos="8640"/>
      </w:tabs>
    </w:pPr>
  </w:style>
  <w:style w:type="character" w:customStyle="1" w:styleId="FooterChar">
    <w:name w:val="Footer Char"/>
    <w:basedOn w:val="DefaultParagraphFont"/>
    <w:link w:val="Footer"/>
    <w:uiPriority w:val="99"/>
    <w:rsid w:val="00785DB6"/>
  </w:style>
  <w:style w:type="table" w:styleId="TableGrid">
    <w:name w:val="Table Grid"/>
    <w:basedOn w:val="TableNormal"/>
    <w:uiPriority w:val="59"/>
    <w:rsid w:val="00785D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E3C7A"/>
    <w:pPr>
      <w:ind w:left="720"/>
      <w:contextualSpacing/>
    </w:pPr>
  </w:style>
  <w:style w:type="character" w:styleId="Hyperlink">
    <w:name w:val="Hyperlink"/>
    <w:basedOn w:val="DefaultParagraphFont"/>
    <w:uiPriority w:val="99"/>
    <w:unhideWhenUsed/>
    <w:rsid w:val="002E3C7A"/>
    <w:rPr>
      <w:color w:val="0000FF" w:themeColor="hyperlink"/>
      <w:u w:val="single"/>
    </w:rPr>
  </w:style>
  <w:style w:type="character" w:customStyle="1" w:styleId="apple-converted-space">
    <w:name w:val="apple-converted-space"/>
    <w:basedOn w:val="DefaultParagraphFont"/>
    <w:rsid w:val="002E3C7A"/>
  </w:style>
  <w:style w:type="character" w:styleId="Strong">
    <w:name w:val="Strong"/>
    <w:basedOn w:val="DefaultParagraphFont"/>
    <w:uiPriority w:val="22"/>
    <w:qFormat/>
    <w:rsid w:val="002E3C7A"/>
    <w:rPr>
      <w:b/>
      <w:bCs/>
    </w:rPr>
  </w:style>
  <w:style w:type="paragraph" w:customStyle="1" w:styleId="Default">
    <w:name w:val="Default"/>
    <w:rsid w:val="00166BE8"/>
    <w:pPr>
      <w:widowControl w:val="0"/>
      <w:autoSpaceDE w:val="0"/>
      <w:autoSpaceDN w:val="0"/>
      <w:adjustRightInd w:val="0"/>
    </w:pPr>
    <w:rPr>
      <w:rFonts w:ascii="GillSans" w:hAnsi="GillSans" w:cs="GillSans"/>
      <w:color w:val="000000"/>
    </w:rPr>
  </w:style>
  <w:style w:type="paragraph" w:styleId="NormalWeb">
    <w:name w:val="Normal (Web)"/>
    <w:basedOn w:val="Normal"/>
    <w:uiPriority w:val="99"/>
    <w:unhideWhenUsed/>
    <w:rsid w:val="00F70387"/>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5DB6"/>
    <w:pPr>
      <w:tabs>
        <w:tab w:val="center" w:pos="4320"/>
        <w:tab w:val="right" w:pos="8640"/>
      </w:tabs>
    </w:pPr>
  </w:style>
  <w:style w:type="character" w:customStyle="1" w:styleId="HeaderChar">
    <w:name w:val="Header Char"/>
    <w:basedOn w:val="DefaultParagraphFont"/>
    <w:link w:val="Header"/>
    <w:uiPriority w:val="99"/>
    <w:rsid w:val="00785DB6"/>
  </w:style>
  <w:style w:type="paragraph" w:styleId="Footer">
    <w:name w:val="footer"/>
    <w:basedOn w:val="Normal"/>
    <w:link w:val="FooterChar"/>
    <w:uiPriority w:val="99"/>
    <w:unhideWhenUsed/>
    <w:rsid w:val="00785DB6"/>
    <w:pPr>
      <w:tabs>
        <w:tab w:val="center" w:pos="4320"/>
        <w:tab w:val="right" w:pos="8640"/>
      </w:tabs>
    </w:pPr>
  </w:style>
  <w:style w:type="character" w:customStyle="1" w:styleId="FooterChar">
    <w:name w:val="Footer Char"/>
    <w:basedOn w:val="DefaultParagraphFont"/>
    <w:link w:val="Footer"/>
    <w:uiPriority w:val="99"/>
    <w:rsid w:val="00785DB6"/>
  </w:style>
  <w:style w:type="table" w:styleId="TableGrid">
    <w:name w:val="Table Grid"/>
    <w:basedOn w:val="TableNormal"/>
    <w:uiPriority w:val="59"/>
    <w:rsid w:val="00785D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E3C7A"/>
    <w:pPr>
      <w:ind w:left="720"/>
      <w:contextualSpacing/>
    </w:pPr>
  </w:style>
  <w:style w:type="character" w:styleId="Hyperlink">
    <w:name w:val="Hyperlink"/>
    <w:basedOn w:val="DefaultParagraphFont"/>
    <w:uiPriority w:val="99"/>
    <w:unhideWhenUsed/>
    <w:rsid w:val="002E3C7A"/>
    <w:rPr>
      <w:color w:val="0000FF" w:themeColor="hyperlink"/>
      <w:u w:val="single"/>
    </w:rPr>
  </w:style>
  <w:style w:type="character" w:customStyle="1" w:styleId="apple-converted-space">
    <w:name w:val="apple-converted-space"/>
    <w:basedOn w:val="DefaultParagraphFont"/>
    <w:rsid w:val="002E3C7A"/>
  </w:style>
  <w:style w:type="character" w:styleId="Strong">
    <w:name w:val="Strong"/>
    <w:basedOn w:val="DefaultParagraphFont"/>
    <w:uiPriority w:val="22"/>
    <w:qFormat/>
    <w:rsid w:val="002E3C7A"/>
    <w:rPr>
      <w:b/>
      <w:bCs/>
    </w:rPr>
  </w:style>
  <w:style w:type="paragraph" w:customStyle="1" w:styleId="Default">
    <w:name w:val="Default"/>
    <w:rsid w:val="00166BE8"/>
    <w:pPr>
      <w:widowControl w:val="0"/>
      <w:autoSpaceDE w:val="0"/>
      <w:autoSpaceDN w:val="0"/>
      <w:adjustRightInd w:val="0"/>
    </w:pPr>
    <w:rPr>
      <w:rFonts w:ascii="GillSans" w:hAnsi="GillSans" w:cs="GillSans"/>
      <w:color w:val="000000"/>
    </w:rPr>
  </w:style>
  <w:style w:type="paragraph" w:styleId="NormalWeb">
    <w:name w:val="Normal (Web)"/>
    <w:basedOn w:val="Normal"/>
    <w:uiPriority w:val="99"/>
    <w:unhideWhenUsed/>
    <w:rsid w:val="00F70387"/>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639693">
      <w:bodyDiv w:val="1"/>
      <w:marLeft w:val="0"/>
      <w:marRight w:val="0"/>
      <w:marTop w:val="0"/>
      <w:marBottom w:val="0"/>
      <w:divBdr>
        <w:top w:val="none" w:sz="0" w:space="0" w:color="auto"/>
        <w:left w:val="none" w:sz="0" w:space="0" w:color="auto"/>
        <w:bottom w:val="none" w:sz="0" w:space="0" w:color="auto"/>
        <w:right w:val="none" w:sz="0" w:space="0" w:color="auto"/>
      </w:divBdr>
    </w:div>
    <w:div w:id="21174338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fortune.com/2015/04/13/corporate-wellness/" TargetMode="External"/><Relationship Id="rId20" Type="http://schemas.openxmlformats.org/officeDocument/2006/relationships/hyperlink" Target="https://www.shrm.org/hrdisciplines/benefits/Articles/Pages/HealthBenefitsROI.aspx" TargetMode="External"/><Relationship Id="rId21" Type="http://schemas.openxmlformats.org/officeDocument/2006/relationships/hyperlink" Target="https://www.shrm.org/Publications/hrmagazine/EditorialContent/Pages/0608wells.aspx" TargetMode="External"/><Relationship Id="rId22" Type="http://schemas.openxmlformats.org/officeDocument/2006/relationships/hyperlink" Target="https://www.shrm.org/hrdisciplines/benefits/Articles/Pages/CMS_020035.aspx" TargetMode="External"/><Relationship Id="rId23" Type="http://schemas.openxmlformats.org/officeDocument/2006/relationships/header" Target="header1.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s://www.shrm.org/resourcesandtools/tools-and-samples/hr-qa/pages/wellnessprogramscontributingtotheemployer%E2%80%99sbottomline.aspx" TargetMode="External"/><Relationship Id="rId11" Type="http://schemas.openxmlformats.org/officeDocument/2006/relationships/hyperlink" Target="http://choosehealth.utah.gov/documents/pdfs/ACA_Booklet.pdf" TargetMode="External"/><Relationship Id="rId12" Type="http://schemas.openxmlformats.org/officeDocument/2006/relationships/hyperlink" Target="http://cghealth.com/wp-content/uploads/2015/08/the-health-trust-organizational-wellness-policy.pdf" TargetMode="External"/><Relationship Id="rId13" Type="http://schemas.openxmlformats.org/officeDocument/2006/relationships/hyperlink" Target="https://resources.workable.com/employee-wellness-policy" TargetMode="External"/><Relationship Id="rId14" Type="http://schemas.openxmlformats.org/officeDocument/2006/relationships/hyperlink" Target="https://hbr.org/2010/12/whats-the-hard-return-on-employee-wellness-programs" TargetMode="External"/><Relationship Id="rId15" Type="http://schemas.openxmlformats.org/officeDocument/2006/relationships/hyperlink" Target="https://www.shrm.org/hrdisciplines/benefits/Articles/Pages/WellnessCommitment.aspx" TargetMode="External"/><Relationship Id="rId16" Type="http://schemas.openxmlformats.org/officeDocument/2006/relationships/hyperlink" Target="https://www.shrm.org/hrdisciplines/benefits/Articles/Pages/WellnessMisunderstood.aspx" TargetMode="External"/><Relationship Id="rId17" Type="http://schemas.openxmlformats.org/officeDocument/2006/relationships/hyperlink" Target="https://www.shrm.org/hrdisciplines/benefits/Articles/Pages/HeartDisease.aspx" TargetMode="External"/><Relationship Id="rId18" Type="http://schemas.openxmlformats.org/officeDocument/2006/relationships/hyperlink" Target="https://www.shrm.org/hrdisciplines/benefits/Articles/Pages/ReduceHealthRisks.aspx" TargetMode="External"/><Relationship Id="rId19" Type="http://schemas.openxmlformats.org/officeDocument/2006/relationships/hyperlink" Target="https://www.shrm.org/Publications/HRNews/Pages/BenefitsOfWellness.aspx"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791</Words>
  <Characters>4515</Characters>
  <Application>Microsoft Macintosh Word</Application>
  <DocSecurity>0</DocSecurity>
  <Lines>37</Lines>
  <Paragraphs>10</Paragraphs>
  <ScaleCrop>false</ScaleCrop>
  <Company>Apex Evaluation</Company>
  <LinksUpToDate>false</LinksUpToDate>
  <CharactersWithSpaces>5296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Skogerboe</dc:creator>
  <cp:keywords/>
  <dc:description/>
  <cp:lastModifiedBy>Natalie Skogerboe</cp:lastModifiedBy>
  <cp:revision>9</cp:revision>
  <cp:lastPrinted>2017-04-24T22:43:00Z</cp:lastPrinted>
  <dcterms:created xsi:type="dcterms:W3CDTF">2017-05-01T15:22:00Z</dcterms:created>
  <dcterms:modified xsi:type="dcterms:W3CDTF">2017-05-01T16:11:00Z</dcterms:modified>
</cp:coreProperties>
</file>