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6210" w14:textId="36EA6ADE" w:rsidR="007B76F5" w:rsidRPr="002E3C7A" w:rsidRDefault="002E3C7A" w:rsidP="002E3C7A">
      <w:pPr>
        <w:rPr>
          <w:b/>
          <w:color w:val="7F7F7F" w:themeColor="text1" w:themeTint="80"/>
        </w:rPr>
      </w:pPr>
      <w:r w:rsidRPr="00BF15EF">
        <w:rPr>
          <w:b/>
          <w:noProof/>
        </w:rPr>
        <w:drawing>
          <wp:anchor distT="0" distB="0" distL="114300" distR="114300" simplePos="0" relativeHeight="251659264" behindDoc="0" locked="0" layoutInCell="1" allowOverlap="1" wp14:anchorId="5BB58AED" wp14:editId="6138AC77">
            <wp:simplePos x="0" y="0"/>
            <wp:positionH relativeFrom="column">
              <wp:posOffset>-457200</wp:posOffset>
            </wp:positionH>
            <wp:positionV relativeFrom="paragraph">
              <wp:posOffset>-800100</wp:posOffset>
            </wp:positionV>
            <wp:extent cx="1485900" cy="1257300"/>
            <wp:effectExtent l="0" t="0" r="0" b="0"/>
            <wp:wrapTight wrapText="bothSides">
              <wp:wrapPolygon edited="0">
                <wp:start x="2954" y="5673"/>
                <wp:lineTo x="738" y="6545"/>
                <wp:lineTo x="738" y="13964"/>
                <wp:lineTo x="4062" y="15709"/>
                <wp:lineTo x="18462" y="15709"/>
                <wp:lineTo x="20308" y="13527"/>
                <wp:lineTo x="20677" y="6545"/>
                <wp:lineTo x="7754" y="5673"/>
                <wp:lineTo x="2954" y="5673"/>
              </wp:wrapPolygon>
            </wp:wrapTight>
            <wp:docPr id="5" name="Picture 5" descr="C:\Users\shann\AppData\Local\Microsoft\Windows\INetCacheContent.Word\familyfriendlynm-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AppData\Local\Microsoft\Windows\INetCacheContent.Word\familyfriendlynm-colo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Fa</w:t>
      </w:r>
      <w:r w:rsidR="00785DB6" w:rsidRPr="002E3C7A">
        <w:rPr>
          <w:b/>
          <w:color w:val="7F7F7F" w:themeColor="text1" w:themeTint="80"/>
        </w:rPr>
        <w:t>mily Friendly New Mexico – Business Toolkit</w:t>
      </w:r>
    </w:p>
    <w:p w14:paraId="242D0EB5" w14:textId="14056E37" w:rsidR="002E3C7A" w:rsidRPr="002E3C7A" w:rsidRDefault="004B42ED" w:rsidP="00785DB6">
      <w:pPr>
        <w:jc w:val="center"/>
        <w:rPr>
          <w:b/>
          <w:color w:val="31849B" w:themeColor="accent5" w:themeShade="BF"/>
          <w:sz w:val="32"/>
          <w:szCs w:val="32"/>
        </w:rPr>
      </w:pPr>
      <w:r>
        <w:rPr>
          <w:b/>
          <w:color w:val="31849B" w:themeColor="accent5" w:themeShade="BF"/>
          <w:sz w:val="32"/>
          <w:szCs w:val="32"/>
        </w:rPr>
        <w:t>Healthcare</w:t>
      </w:r>
    </w:p>
    <w:p w14:paraId="1302E4F8" w14:textId="77777777" w:rsidR="00785DB6" w:rsidRDefault="00785DB6" w:rsidP="00785DB6">
      <w:pPr>
        <w:jc w:val="center"/>
      </w:pPr>
    </w:p>
    <w:p w14:paraId="41202FBC" w14:textId="4F2D0895" w:rsidR="00B45430" w:rsidRPr="00B45430" w:rsidRDefault="005611FC" w:rsidP="00B45430">
      <w:pPr>
        <w:rPr>
          <w:rFonts w:eastAsia="Times New Roman" w:cs="Times New Roman"/>
          <w:b/>
          <w:shd w:val="clear" w:color="auto" w:fill="FFFFFF"/>
        </w:rPr>
      </w:pPr>
      <w:r w:rsidRPr="002E3C7A">
        <w:rPr>
          <w:b/>
          <w:color w:val="7F7F7F" w:themeColor="text1" w:themeTint="80"/>
        </w:rPr>
        <w:t>Definition</w:t>
      </w:r>
      <w:r w:rsidR="002E3C7A" w:rsidRPr="002E3C7A">
        <w:rPr>
          <w:b/>
          <w:color w:val="7F7F7F" w:themeColor="text1" w:themeTint="80"/>
        </w:rPr>
        <w:t>:</w:t>
      </w:r>
      <w:r w:rsidR="002E3C7A">
        <w:rPr>
          <w:b/>
        </w:rPr>
        <w:t xml:space="preserve"> </w:t>
      </w:r>
      <w:r w:rsidR="004B42ED">
        <w:rPr>
          <w:b/>
        </w:rPr>
        <w:t xml:space="preserve">Employer paid or subsidized health insurance, dental insurance, and/or vision insurance. </w:t>
      </w:r>
    </w:p>
    <w:p w14:paraId="09584E09" w14:textId="77777777" w:rsidR="00166BE8" w:rsidRDefault="00166BE8" w:rsidP="00785DB6"/>
    <w:p w14:paraId="0A3F30FE" w14:textId="04FEBE00" w:rsidR="00F905BE" w:rsidRDefault="00585FE7" w:rsidP="00785DB6">
      <w:pPr>
        <w:rPr>
          <w:b/>
          <w:color w:val="7F7F7F" w:themeColor="text1" w:themeTint="80"/>
          <w:sz w:val="6"/>
          <w:szCs w:val="6"/>
        </w:rPr>
      </w:pPr>
      <w:r>
        <w:rPr>
          <w:b/>
          <w:color w:val="7F7F7F" w:themeColor="text1" w:themeTint="80"/>
          <w:sz w:val="20"/>
          <w:szCs w:val="20"/>
        </w:rPr>
        <w:t>Healthcare policies</w:t>
      </w:r>
      <w:r w:rsidR="00B45430">
        <w:rPr>
          <w:b/>
          <w:color w:val="7F7F7F" w:themeColor="text1" w:themeTint="80"/>
          <w:sz w:val="20"/>
          <w:szCs w:val="20"/>
        </w:rPr>
        <w:t xml:space="preserve"> could include:</w:t>
      </w:r>
    </w:p>
    <w:p w14:paraId="0B125FE9" w14:textId="77777777" w:rsidR="004C5A5E" w:rsidRPr="004C5A5E" w:rsidRDefault="004C5A5E" w:rsidP="00785DB6">
      <w:pPr>
        <w:rPr>
          <w:b/>
          <w:color w:val="7F7F7F" w:themeColor="text1" w:themeTint="80"/>
          <w:sz w:val="6"/>
          <w:szCs w:val="6"/>
        </w:rPr>
      </w:pPr>
    </w:p>
    <w:tbl>
      <w:tblPr>
        <w:tblStyle w:val="TableGrid"/>
        <w:tblW w:w="90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18"/>
        <w:gridCol w:w="270"/>
        <w:gridCol w:w="2970"/>
        <w:gridCol w:w="270"/>
        <w:gridCol w:w="2864"/>
      </w:tblGrid>
      <w:tr w:rsidR="00B45430" w14:paraId="6B5930B9" w14:textId="77777777" w:rsidTr="00D536BF">
        <w:tc>
          <w:tcPr>
            <w:tcW w:w="2718" w:type="dxa"/>
            <w:shd w:val="clear" w:color="auto" w:fill="ACD8D8"/>
            <w:vAlign w:val="center"/>
          </w:tcPr>
          <w:p w14:paraId="2B607B55" w14:textId="139F9796" w:rsidR="00166BE8" w:rsidRDefault="00585FE7" w:rsidP="00B45430">
            <w:pPr>
              <w:ind w:right="-65"/>
              <w:jc w:val="center"/>
            </w:pPr>
            <w:r>
              <w:rPr>
                <w:b/>
              </w:rPr>
              <w:t>Health Insurance</w:t>
            </w:r>
          </w:p>
        </w:tc>
        <w:tc>
          <w:tcPr>
            <w:tcW w:w="270" w:type="dxa"/>
            <w:tcBorders>
              <w:top w:val="nil"/>
              <w:bottom w:val="nil"/>
            </w:tcBorders>
            <w:vAlign w:val="center"/>
          </w:tcPr>
          <w:p w14:paraId="2F6833D0" w14:textId="74C6B9EA" w:rsidR="00166BE8" w:rsidRDefault="00166BE8" w:rsidP="00B45430">
            <w:pPr>
              <w:jc w:val="center"/>
            </w:pPr>
          </w:p>
        </w:tc>
        <w:tc>
          <w:tcPr>
            <w:tcW w:w="2970" w:type="dxa"/>
            <w:shd w:val="clear" w:color="auto" w:fill="ACD8D8"/>
            <w:vAlign w:val="center"/>
          </w:tcPr>
          <w:p w14:paraId="4B98746D" w14:textId="7C449DB2" w:rsidR="00166BE8" w:rsidRDefault="00585FE7" w:rsidP="00B45430">
            <w:pPr>
              <w:jc w:val="center"/>
            </w:pPr>
            <w:r>
              <w:rPr>
                <w:b/>
              </w:rPr>
              <w:t>Dental Insurance</w:t>
            </w:r>
          </w:p>
        </w:tc>
        <w:tc>
          <w:tcPr>
            <w:tcW w:w="270" w:type="dxa"/>
            <w:tcBorders>
              <w:top w:val="nil"/>
              <w:bottom w:val="nil"/>
            </w:tcBorders>
            <w:vAlign w:val="center"/>
          </w:tcPr>
          <w:p w14:paraId="32B7467A" w14:textId="5C4EFD8F" w:rsidR="00166BE8" w:rsidRDefault="00166BE8" w:rsidP="00B45430">
            <w:pPr>
              <w:jc w:val="center"/>
            </w:pPr>
          </w:p>
        </w:tc>
        <w:tc>
          <w:tcPr>
            <w:tcW w:w="2864" w:type="dxa"/>
            <w:shd w:val="clear" w:color="auto" w:fill="ACD8D8"/>
            <w:vAlign w:val="center"/>
          </w:tcPr>
          <w:p w14:paraId="3C1777BC" w14:textId="106870E4" w:rsidR="00166BE8" w:rsidRPr="00B45430" w:rsidRDefault="00585FE7" w:rsidP="00B45430">
            <w:pPr>
              <w:jc w:val="center"/>
              <w:rPr>
                <w:b/>
              </w:rPr>
            </w:pPr>
            <w:r>
              <w:rPr>
                <w:b/>
              </w:rPr>
              <w:t>Vision Insurance</w:t>
            </w:r>
          </w:p>
        </w:tc>
      </w:tr>
    </w:tbl>
    <w:p w14:paraId="794ABC1E" w14:textId="77777777" w:rsidR="00166BE8" w:rsidRPr="002E3C7A" w:rsidRDefault="00166BE8" w:rsidP="00785DB6"/>
    <w:p w14:paraId="62B87694" w14:textId="490976D6" w:rsidR="00C837F3" w:rsidRPr="006F6FCD" w:rsidRDefault="00C837F3" w:rsidP="00C837F3">
      <w:pPr>
        <w:rPr>
          <w:b/>
        </w:rPr>
      </w:pPr>
      <w:r w:rsidRPr="00842D50">
        <w:rPr>
          <w:b/>
        </w:rPr>
        <w:t>What are the benefits</w:t>
      </w:r>
      <w:r>
        <w:rPr>
          <w:b/>
        </w:rPr>
        <w:t xml:space="preserve"> of offering </w:t>
      </w:r>
      <w:r w:rsidR="00585FE7">
        <w:rPr>
          <w:b/>
        </w:rPr>
        <w:t>Health Insurance</w:t>
      </w:r>
      <w:r>
        <w:rPr>
          <w:b/>
        </w:rPr>
        <w:t>?</w:t>
      </w:r>
    </w:p>
    <w:p w14:paraId="6B73B895" w14:textId="0BC730E0" w:rsidR="00585FE7" w:rsidRDefault="00585FE7" w:rsidP="00585FE7">
      <w:r>
        <w:t xml:space="preserve">Healthy employees benefit employers. Creating a positive, safe and healthy working environment increases morale, improves employee’s work-life balance and positively impacts business (White House Council of Economic Advisors, 2014). Healthier employees are absent less, are motivated to stay in a job, and often recover from sickness quicker. Healthcare benefits are optional for most employers, but are critically important to most employees. </w:t>
      </w:r>
    </w:p>
    <w:p w14:paraId="31A62D51" w14:textId="77777777" w:rsidR="00C837F3" w:rsidRDefault="00C837F3" w:rsidP="00C837F3"/>
    <w:p w14:paraId="4169FEA8" w14:textId="77777777" w:rsidR="00585FE7" w:rsidRDefault="00585FE7" w:rsidP="00585FE7">
      <w:pPr>
        <w:pStyle w:val="ListParagraph"/>
        <w:numPr>
          <w:ilvl w:val="0"/>
          <w:numId w:val="5"/>
        </w:numPr>
      </w:pPr>
      <w:r>
        <w:t xml:space="preserve">A benefits package that offers good health insurance coverage (including dental and vision) helps attract and retain quality employees. </w:t>
      </w:r>
    </w:p>
    <w:p w14:paraId="1A5B5CE8" w14:textId="77777777" w:rsidR="00585FE7" w:rsidRDefault="00585FE7" w:rsidP="00585FE7">
      <w:pPr>
        <w:pStyle w:val="ListParagraph"/>
        <w:numPr>
          <w:ilvl w:val="0"/>
          <w:numId w:val="5"/>
        </w:numPr>
      </w:pPr>
      <w:r>
        <w:t xml:space="preserve">Businesses get the tax advantage of deducting plan contributions, including health insurance, life insurance, and pension plans. </w:t>
      </w:r>
    </w:p>
    <w:p w14:paraId="3E07FD02" w14:textId="77777777" w:rsidR="00585FE7" w:rsidRDefault="00585FE7" w:rsidP="00585FE7">
      <w:pPr>
        <w:pStyle w:val="ListParagraph"/>
        <w:numPr>
          <w:ilvl w:val="0"/>
          <w:numId w:val="5"/>
        </w:numPr>
      </w:pPr>
      <w:r>
        <w:t>Employees often will accept better benefits in lieu of higher salary, which can be a savings to the business.</w:t>
      </w:r>
    </w:p>
    <w:p w14:paraId="53820F91" w14:textId="77777777" w:rsidR="00585FE7" w:rsidRDefault="00585FE7" w:rsidP="00585FE7">
      <w:pPr>
        <w:pStyle w:val="ListParagraph"/>
        <w:numPr>
          <w:ilvl w:val="0"/>
          <w:numId w:val="5"/>
        </w:numPr>
      </w:pPr>
      <w:r>
        <w:t>Offering benefits to employees can be advantageous to a business owner, who may be able to get personal benefits for less money than if he or she purchased them privately.</w:t>
      </w:r>
    </w:p>
    <w:p w14:paraId="3F9BFF59" w14:textId="77777777" w:rsidR="00585FE7" w:rsidRDefault="00585FE7" w:rsidP="00585FE7">
      <w:pPr>
        <w:pStyle w:val="ListParagraph"/>
        <w:numPr>
          <w:ilvl w:val="0"/>
          <w:numId w:val="5"/>
        </w:numPr>
      </w:pPr>
      <w:r>
        <w:t xml:space="preserve">Offering health insurance has been shown to decrease absenteeism and improve employee health and morale; those with coverage are more likely to seek preventative care and live overall healthier lives. </w:t>
      </w:r>
    </w:p>
    <w:p w14:paraId="5E9FD2B8" w14:textId="77777777" w:rsidR="00585FE7" w:rsidRDefault="00585FE7" w:rsidP="00585FE7">
      <w:pPr>
        <w:pStyle w:val="ListParagraph"/>
        <w:numPr>
          <w:ilvl w:val="0"/>
          <w:numId w:val="5"/>
        </w:numPr>
      </w:pPr>
      <w:r>
        <w:t>This type of support helps protect employees from financial peril.</w:t>
      </w:r>
    </w:p>
    <w:p w14:paraId="3463D16F" w14:textId="77777777" w:rsidR="00585FE7" w:rsidRDefault="00585FE7" w:rsidP="00585FE7">
      <w:pPr>
        <w:rPr>
          <w:rStyle w:val="Hyperlink"/>
          <w:sz w:val="20"/>
          <w:szCs w:val="20"/>
        </w:rPr>
      </w:pPr>
      <w:r w:rsidRPr="00DE0193">
        <w:rPr>
          <w:sz w:val="20"/>
          <w:szCs w:val="20"/>
        </w:rPr>
        <w:t xml:space="preserve">SOURCE: </w:t>
      </w:r>
      <w:hyperlink r:id="rId9" w:history="1">
        <w:r w:rsidRPr="00DE0193">
          <w:rPr>
            <w:rStyle w:val="Hyperlink"/>
            <w:sz w:val="20"/>
            <w:szCs w:val="20"/>
          </w:rPr>
          <w:t>http://smallbusiness.findlaw.com/employment-law-and-human-resources/pro-and-cons-offering-employee-benefits.html</w:t>
        </w:r>
      </w:hyperlink>
    </w:p>
    <w:p w14:paraId="329E301F" w14:textId="77777777" w:rsidR="00C837F3" w:rsidRDefault="00C837F3" w:rsidP="00C837F3"/>
    <w:p w14:paraId="22815D8F" w14:textId="041BFF0D" w:rsidR="00585FE7" w:rsidRDefault="00585FE7" w:rsidP="00585FE7">
      <w:pPr>
        <w:rPr>
          <w:b/>
        </w:rPr>
      </w:pPr>
      <w:r>
        <w:rPr>
          <w:b/>
        </w:rPr>
        <w:t>What is the Law?</w:t>
      </w:r>
    </w:p>
    <w:p w14:paraId="57EEF30A" w14:textId="77777777" w:rsidR="00585FE7" w:rsidRPr="00883877" w:rsidRDefault="00585FE7" w:rsidP="00585FE7">
      <w:r w:rsidRPr="00883877">
        <w:rPr>
          <w:b/>
        </w:rPr>
        <w:t>Health Insurance:</w:t>
      </w:r>
      <w:r w:rsidRPr="00883877">
        <w:t xml:space="preserve"> The Affordable Care Act requires employers with 50 or more full time employees to offer adequate health coverage or be subject to assessment if their employees receive premium tax credits to buy their own insurance.  </w:t>
      </w:r>
    </w:p>
    <w:p w14:paraId="1BBED358" w14:textId="77777777" w:rsidR="00B721E2" w:rsidRDefault="00B721E2" w:rsidP="002E3C7A"/>
    <w:p w14:paraId="02BE8F65" w14:textId="357AE221" w:rsidR="00B721E2" w:rsidRPr="00B721E2" w:rsidRDefault="00B721E2" w:rsidP="002E3C7A">
      <w:pPr>
        <w:rPr>
          <w:b/>
        </w:rPr>
      </w:pPr>
      <w:r w:rsidRPr="00B721E2">
        <w:rPr>
          <w:b/>
        </w:rPr>
        <w:t>Health Savings Ac</w:t>
      </w:r>
      <w:r>
        <w:rPr>
          <w:b/>
        </w:rPr>
        <w:t>c</w:t>
      </w:r>
      <w:r w:rsidRPr="00B721E2">
        <w:rPr>
          <w:b/>
        </w:rPr>
        <w:t>ounts</w:t>
      </w:r>
    </w:p>
    <w:p w14:paraId="1921171C" w14:textId="453426DB" w:rsidR="00A13B51" w:rsidRDefault="00BD2167" w:rsidP="002E3C7A">
      <w:r>
        <w:t>S</w:t>
      </w:r>
      <w:r w:rsidR="00B721E2">
        <w:t>ome employers have turned to</w:t>
      </w:r>
      <w:r>
        <w:t xml:space="preserve"> health savings accounts or flexible health spending accounts in lieu of insurance. These are accounts</w:t>
      </w:r>
      <w:r w:rsidR="006C3ECE">
        <w:t xml:space="preserve"> to which</w:t>
      </w:r>
      <w:r w:rsidR="00B721E2">
        <w:t xml:space="preserve"> employees </w:t>
      </w:r>
      <w:r w:rsidR="001F615E">
        <w:t xml:space="preserve">can </w:t>
      </w:r>
      <w:r w:rsidR="006C3ECE">
        <w:t>contribute pre-tax earnings</w:t>
      </w:r>
      <w:r w:rsidR="002F1B68">
        <w:t>, and can be spent on insurance premiums, prescriptions, and medical visits, services, and equipment</w:t>
      </w:r>
      <w:r w:rsidR="00B721E2">
        <w:t xml:space="preserve">. </w:t>
      </w:r>
      <w:r w:rsidR="006C3ECE">
        <w:t xml:space="preserve">With uncertainty </w:t>
      </w:r>
      <w:r w:rsidR="001F615E">
        <w:t xml:space="preserve">in the healthcare industry </w:t>
      </w:r>
      <w:r w:rsidR="006C3ECE">
        <w:t>and increasing costs of healthcare over the past decade</w:t>
      </w:r>
      <w:r w:rsidR="001F615E">
        <w:t>, h</w:t>
      </w:r>
      <w:r w:rsidR="006C3ECE">
        <w:t>ealth savings accounts</w:t>
      </w:r>
      <w:r w:rsidR="001F615E">
        <w:t xml:space="preserve"> </w:t>
      </w:r>
      <w:r w:rsidR="002F1B68">
        <w:t>have beco</w:t>
      </w:r>
      <w:r w:rsidR="001F615E">
        <w:t>me more widely offered. In 2016,</w:t>
      </w:r>
      <w:r w:rsidR="006C3ECE">
        <w:t xml:space="preserve"> 25% of U.S. employers</w:t>
      </w:r>
      <w:r w:rsidR="001F615E">
        <w:t xml:space="preserve"> offered health savings accounts</w:t>
      </w:r>
      <w:r w:rsidR="006C3ECE">
        <w:t xml:space="preserve"> compared with only 5% in 2005. Flexible healthcare spending accounts </w:t>
      </w:r>
      <w:r w:rsidR="001F615E">
        <w:t xml:space="preserve">also </w:t>
      </w:r>
      <w:r w:rsidR="006C3ECE">
        <w:t xml:space="preserve">increased from 31% in 2005 </w:t>
      </w:r>
      <w:r w:rsidR="006C3ECE">
        <w:lastRenderedPageBreak/>
        <w:t>to 43% in 2016 (</w:t>
      </w:r>
      <w:r w:rsidR="006C3ECE" w:rsidRPr="006C3ECE">
        <w:rPr>
          <w:sz w:val="20"/>
          <w:szCs w:val="20"/>
        </w:rPr>
        <w:t>B</w:t>
      </w:r>
      <w:r w:rsidR="006C3ECE">
        <w:rPr>
          <w:sz w:val="20"/>
          <w:szCs w:val="20"/>
        </w:rPr>
        <w:t xml:space="preserve">ureau of </w:t>
      </w:r>
      <w:r w:rsidR="006C3ECE" w:rsidRPr="006C3ECE">
        <w:rPr>
          <w:sz w:val="20"/>
          <w:szCs w:val="20"/>
        </w:rPr>
        <w:t>L</w:t>
      </w:r>
      <w:r w:rsidR="006C3ECE">
        <w:rPr>
          <w:sz w:val="20"/>
          <w:szCs w:val="20"/>
        </w:rPr>
        <w:t xml:space="preserve">abor </w:t>
      </w:r>
      <w:r w:rsidR="006C3ECE" w:rsidRPr="006C3ECE">
        <w:rPr>
          <w:sz w:val="20"/>
          <w:szCs w:val="20"/>
        </w:rPr>
        <w:t>S</w:t>
      </w:r>
      <w:r w:rsidR="006C3ECE">
        <w:rPr>
          <w:sz w:val="20"/>
          <w:szCs w:val="20"/>
        </w:rPr>
        <w:t>tatistics</w:t>
      </w:r>
      <w:r w:rsidR="006C3ECE" w:rsidRPr="006C3ECE">
        <w:rPr>
          <w:sz w:val="20"/>
          <w:szCs w:val="20"/>
        </w:rPr>
        <w:t xml:space="preserve"> – National Compensation Survey, 2016</w:t>
      </w:r>
      <w:r w:rsidR="006C3ECE">
        <w:t xml:space="preserve">). </w:t>
      </w:r>
      <w:r>
        <w:t>These are a less costly option</w:t>
      </w:r>
      <w:r w:rsidR="002F1B68">
        <w:t>s</w:t>
      </w:r>
      <w:r>
        <w:t xml:space="preserve"> for employers and do provide some support </w:t>
      </w:r>
      <w:r w:rsidR="002F1B68">
        <w:t>for</w:t>
      </w:r>
      <w:r>
        <w:t xml:space="preserve"> workers. However, there are limitations on the maximum amount that employees can contribute, usually around $2,500, which is insufficient for most annual premiums and deductibles. This option is far less c</w:t>
      </w:r>
      <w:r w:rsidR="002F1B68">
        <w:t>omprehensive than employer subsidized insurance and</w:t>
      </w:r>
      <w:r>
        <w:t xml:space="preserve"> still requires the employee (not the employer) to set aside the contributions. </w:t>
      </w:r>
    </w:p>
    <w:p w14:paraId="7CC36FCE" w14:textId="77777777" w:rsidR="00A13B51" w:rsidRDefault="00A13B51" w:rsidP="002E3C7A"/>
    <w:p w14:paraId="54620C85" w14:textId="77777777" w:rsidR="00A6168B" w:rsidRPr="00B82DD0" w:rsidRDefault="00A6168B" w:rsidP="00A6168B">
      <w:pPr>
        <w:rPr>
          <w:b/>
        </w:rPr>
      </w:pPr>
      <w:r>
        <w:rPr>
          <w:b/>
        </w:rPr>
        <w:t>Business Testimony for Healthcare Policie</w:t>
      </w:r>
      <w:r w:rsidRPr="00B82DD0">
        <w:rPr>
          <w:b/>
        </w:rPr>
        <w:t>s</w:t>
      </w:r>
    </w:p>
    <w:p w14:paraId="70A52047" w14:textId="6E90C106" w:rsidR="00A13B51" w:rsidRDefault="00A6168B" w:rsidP="002E3C7A">
      <w:r w:rsidRPr="00A6168B">
        <w:rPr>
          <w:highlight w:val="yellow"/>
        </w:rPr>
        <w:t>Who?</w:t>
      </w:r>
    </w:p>
    <w:p w14:paraId="50873889" w14:textId="77777777" w:rsidR="00A6168B" w:rsidRDefault="00A6168B" w:rsidP="002E3C7A"/>
    <w:p w14:paraId="4249FA8A" w14:textId="77777777" w:rsidR="00A6168B" w:rsidRDefault="00A6168B" w:rsidP="002E3C7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08"/>
        <w:gridCol w:w="6948"/>
      </w:tblGrid>
      <w:tr w:rsidR="005F74A9" w:rsidRPr="00C02AED" w14:paraId="1043A251" w14:textId="77777777" w:rsidTr="00B75AF3">
        <w:tc>
          <w:tcPr>
            <w:tcW w:w="8856" w:type="dxa"/>
            <w:gridSpan w:val="2"/>
            <w:shd w:val="clear" w:color="auto" w:fill="ACD8D8"/>
          </w:tcPr>
          <w:p w14:paraId="600DE629" w14:textId="42B91628" w:rsidR="005F74A9" w:rsidRPr="007A134A" w:rsidRDefault="005F74A9" w:rsidP="00585FE7">
            <w:pPr>
              <w:jc w:val="center"/>
              <w:rPr>
                <w:b/>
              </w:rPr>
            </w:pPr>
            <w:r>
              <w:rPr>
                <w:b/>
              </w:rPr>
              <w:t>Sample</w:t>
            </w:r>
            <w:r w:rsidRPr="007A134A">
              <w:rPr>
                <w:b/>
              </w:rPr>
              <w:t xml:space="preserve"> </w:t>
            </w:r>
            <w:r w:rsidR="00585FE7">
              <w:rPr>
                <w:b/>
              </w:rPr>
              <w:t>Healthcare</w:t>
            </w:r>
            <w:r w:rsidRPr="007A134A">
              <w:rPr>
                <w:b/>
              </w:rPr>
              <w:t xml:space="preserve"> Policies</w:t>
            </w:r>
          </w:p>
        </w:tc>
      </w:tr>
      <w:tr w:rsidR="005F74A9" w:rsidRPr="00C02AED" w14:paraId="09CB92F6" w14:textId="77777777" w:rsidTr="00B75AF3">
        <w:tc>
          <w:tcPr>
            <w:tcW w:w="1908" w:type="dxa"/>
            <w:vAlign w:val="center"/>
          </w:tcPr>
          <w:p w14:paraId="0DB6B4BA" w14:textId="2E6BB981" w:rsidR="005F74A9" w:rsidRDefault="00585FE7" w:rsidP="00B75AF3">
            <w:pPr>
              <w:jc w:val="center"/>
              <w:rPr>
                <w:b/>
              </w:rPr>
            </w:pPr>
            <w:r>
              <w:rPr>
                <w:b/>
              </w:rPr>
              <w:t>Healthcare</w:t>
            </w:r>
          </w:p>
          <w:p w14:paraId="353FF8FF" w14:textId="77777777" w:rsidR="005F74A9" w:rsidRPr="00C02AED" w:rsidRDefault="005F74A9" w:rsidP="00B75AF3">
            <w:pPr>
              <w:jc w:val="center"/>
              <w:rPr>
                <w:b/>
              </w:rPr>
            </w:pPr>
          </w:p>
        </w:tc>
        <w:tc>
          <w:tcPr>
            <w:tcW w:w="6948" w:type="dxa"/>
          </w:tcPr>
          <w:p w14:paraId="643D1707" w14:textId="32AC4039" w:rsidR="0006358D" w:rsidRDefault="0032494D" w:rsidP="00C837F3">
            <w:pPr>
              <w:pStyle w:val="ListParagraph"/>
              <w:numPr>
                <w:ilvl w:val="0"/>
                <w:numId w:val="2"/>
              </w:numPr>
              <w:rPr>
                <w:sz w:val="22"/>
                <w:szCs w:val="22"/>
              </w:rPr>
            </w:pPr>
            <w:hyperlink r:id="rId10" w:history="1">
              <w:r w:rsidRPr="006A0E33">
                <w:rPr>
                  <w:rStyle w:val="Hyperlink"/>
                  <w:sz w:val="22"/>
                  <w:szCs w:val="22"/>
                </w:rPr>
                <w:t>https://www.humana.com/individual-and-family/products-and-services/medical-plans/sample-policies</w:t>
              </w:r>
            </w:hyperlink>
          </w:p>
          <w:p w14:paraId="2DCBB1AA" w14:textId="7449324E" w:rsidR="0032494D" w:rsidRDefault="0032494D" w:rsidP="00C837F3">
            <w:pPr>
              <w:pStyle w:val="ListParagraph"/>
              <w:numPr>
                <w:ilvl w:val="0"/>
                <w:numId w:val="2"/>
              </w:numPr>
              <w:rPr>
                <w:sz w:val="22"/>
                <w:szCs w:val="22"/>
              </w:rPr>
            </w:pPr>
            <w:hyperlink r:id="rId11" w:history="1">
              <w:r w:rsidRPr="006A0E33">
                <w:rPr>
                  <w:rStyle w:val="Hyperlink"/>
                  <w:sz w:val="22"/>
                  <w:szCs w:val="22"/>
                </w:rPr>
                <w:t>http://www.mass.gov/edu/docs/eec/licensing/technical-assistance/guide-health-care-policies.pdf</w:t>
              </w:r>
            </w:hyperlink>
          </w:p>
          <w:p w14:paraId="6CDABCE0" w14:textId="77777777" w:rsidR="0032494D" w:rsidRDefault="0032494D" w:rsidP="00C837F3">
            <w:pPr>
              <w:pStyle w:val="ListParagraph"/>
              <w:numPr>
                <w:ilvl w:val="0"/>
                <w:numId w:val="2"/>
              </w:numPr>
              <w:rPr>
                <w:sz w:val="22"/>
                <w:szCs w:val="22"/>
              </w:rPr>
            </w:pPr>
          </w:p>
          <w:p w14:paraId="5E12942E" w14:textId="77777777" w:rsidR="005F74A9" w:rsidRPr="002B40F1" w:rsidRDefault="005F74A9" w:rsidP="004C5A5E">
            <w:pPr>
              <w:pStyle w:val="ListParagraph"/>
              <w:rPr>
                <w:sz w:val="22"/>
                <w:szCs w:val="22"/>
              </w:rPr>
            </w:pPr>
          </w:p>
        </w:tc>
      </w:tr>
    </w:tbl>
    <w:p w14:paraId="63C03714" w14:textId="77777777" w:rsidR="005F74A9" w:rsidRDefault="005F74A9" w:rsidP="002E3C7A"/>
    <w:p w14:paraId="61D1B092" w14:textId="77777777" w:rsidR="005F74A9" w:rsidRDefault="005F74A9" w:rsidP="002E3C7A"/>
    <w:p w14:paraId="780EFFE7" w14:textId="77777777" w:rsidR="00055575" w:rsidRPr="00763DAA" w:rsidRDefault="00055575" w:rsidP="00055575">
      <w:pPr>
        <w:rPr>
          <w:b/>
        </w:rPr>
      </w:pPr>
      <w:bookmarkStart w:id="0" w:name="_GoBack"/>
      <w:bookmarkEnd w:id="0"/>
      <w:r w:rsidRPr="00763DAA">
        <w:rPr>
          <w:b/>
        </w:rPr>
        <w:t>Business Checklist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28"/>
        <w:gridCol w:w="2628"/>
      </w:tblGrid>
      <w:tr w:rsidR="00055575" w14:paraId="404DEED8" w14:textId="77777777" w:rsidTr="00055575">
        <w:tc>
          <w:tcPr>
            <w:tcW w:w="6228" w:type="dxa"/>
            <w:shd w:val="clear" w:color="auto" w:fill="E6E6E6"/>
          </w:tcPr>
          <w:p w14:paraId="727C3D39" w14:textId="2302168B" w:rsidR="00055575" w:rsidRDefault="00055575" w:rsidP="00055575">
            <w:r>
              <w:t>What are our next steps?</w:t>
            </w:r>
          </w:p>
        </w:tc>
        <w:tc>
          <w:tcPr>
            <w:tcW w:w="2628" w:type="dxa"/>
            <w:shd w:val="clear" w:color="auto" w:fill="E6E6E6"/>
          </w:tcPr>
          <w:p w14:paraId="23459ABC" w14:textId="22278659" w:rsidR="00055575" w:rsidRDefault="00055575" w:rsidP="00166BE8">
            <w:pPr>
              <w:jc w:val="center"/>
            </w:pPr>
            <w:r>
              <w:t>Who is taking the lead?</w:t>
            </w:r>
          </w:p>
        </w:tc>
      </w:tr>
      <w:tr w:rsidR="00055575" w14:paraId="11709325" w14:textId="77777777" w:rsidTr="00055575">
        <w:tc>
          <w:tcPr>
            <w:tcW w:w="6228" w:type="dxa"/>
          </w:tcPr>
          <w:p w14:paraId="0B0EEA5C" w14:textId="77777777" w:rsidR="00055575" w:rsidRDefault="00055575" w:rsidP="00166BE8">
            <w:pPr>
              <w:jc w:val="center"/>
            </w:pPr>
          </w:p>
          <w:p w14:paraId="08D0B86D" w14:textId="77777777" w:rsidR="00075C52" w:rsidRDefault="00075C52" w:rsidP="00166BE8">
            <w:pPr>
              <w:jc w:val="center"/>
            </w:pPr>
          </w:p>
        </w:tc>
        <w:tc>
          <w:tcPr>
            <w:tcW w:w="2628" w:type="dxa"/>
          </w:tcPr>
          <w:p w14:paraId="4A3FECE9" w14:textId="77777777" w:rsidR="00055575" w:rsidRDefault="00055575" w:rsidP="00166BE8">
            <w:pPr>
              <w:jc w:val="center"/>
            </w:pPr>
          </w:p>
        </w:tc>
      </w:tr>
      <w:tr w:rsidR="00055575" w14:paraId="7D2EA082" w14:textId="77777777" w:rsidTr="00055575">
        <w:tc>
          <w:tcPr>
            <w:tcW w:w="6228" w:type="dxa"/>
          </w:tcPr>
          <w:p w14:paraId="56418651" w14:textId="77777777" w:rsidR="00055575" w:rsidRDefault="00055575" w:rsidP="00166BE8">
            <w:pPr>
              <w:jc w:val="center"/>
            </w:pPr>
          </w:p>
          <w:p w14:paraId="26C9A685" w14:textId="77777777" w:rsidR="00075C52" w:rsidRDefault="00075C52" w:rsidP="00166BE8">
            <w:pPr>
              <w:jc w:val="center"/>
            </w:pPr>
          </w:p>
        </w:tc>
        <w:tc>
          <w:tcPr>
            <w:tcW w:w="2628" w:type="dxa"/>
          </w:tcPr>
          <w:p w14:paraId="2105F903" w14:textId="77777777" w:rsidR="00055575" w:rsidRDefault="00055575" w:rsidP="00166BE8">
            <w:pPr>
              <w:jc w:val="center"/>
            </w:pPr>
          </w:p>
        </w:tc>
      </w:tr>
      <w:tr w:rsidR="00055575" w14:paraId="0FCF3AD2" w14:textId="77777777" w:rsidTr="00055575">
        <w:tc>
          <w:tcPr>
            <w:tcW w:w="6228" w:type="dxa"/>
          </w:tcPr>
          <w:p w14:paraId="2ACAA26D" w14:textId="77777777" w:rsidR="00055575" w:rsidRDefault="00055575" w:rsidP="00166BE8">
            <w:pPr>
              <w:jc w:val="center"/>
            </w:pPr>
          </w:p>
          <w:p w14:paraId="00D092D1" w14:textId="77777777" w:rsidR="00075C52" w:rsidRDefault="00075C52" w:rsidP="00166BE8">
            <w:pPr>
              <w:jc w:val="center"/>
            </w:pPr>
          </w:p>
        </w:tc>
        <w:tc>
          <w:tcPr>
            <w:tcW w:w="2628" w:type="dxa"/>
          </w:tcPr>
          <w:p w14:paraId="5C9D0B81" w14:textId="77777777" w:rsidR="00055575" w:rsidRDefault="00055575" w:rsidP="00166BE8">
            <w:pPr>
              <w:jc w:val="center"/>
            </w:pPr>
          </w:p>
        </w:tc>
      </w:tr>
      <w:tr w:rsidR="00055575" w14:paraId="4589DCDF" w14:textId="77777777" w:rsidTr="00055575">
        <w:tc>
          <w:tcPr>
            <w:tcW w:w="6228" w:type="dxa"/>
          </w:tcPr>
          <w:p w14:paraId="3AC5F0A3" w14:textId="77777777" w:rsidR="00055575" w:rsidRDefault="00055575" w:rsidP="00166BE8">
            <w:pPr>
              <w:jc w:val="center"/>
            </w:pPr>
          </w:p>
          <w:p w14:paraId="1C1038E6" w14:textId="77777777" w:rsidR="00075C52" w:rsidRDefault="00075C52" w:rsidP="00166BE8">
            <w:pPr>
              <w:jc w:val="center"/>
            </w:pPr>
          </w:p>
        </w:tc>
        <w:tc>
          <w:tcPr>
            <w:tcW w:w="2628" w:type="dxa"/>
          </w:tcPr>
          <w:p w14:paraId="35638248" w14:textId="77777777" w:rsidR="00055575" w:rsidRDefault="00055575" w:rsidP="00166BE8">
            <w:pPr>
              <w:jc w:val="center"/>
            </w:pPr>
          </w:p>
        </w:tc>
      </w:tr>
    </w:tbl>
    <w:p w14:paraId="224C2F73" w14:textId="77777777" w:rsidR="00763DAA" w:rsidRDefault="00763DAA" w:rsidP="00785DB6"/>
    <w:p w14:paraId="56AD6A2A" w14:textId="77777777" w:rsidR="00075C52" w:rsidRDefault="00075C52" w:rsidP="00785DB6"/>
    <w:p w14:paraId="705DBC57" w14:textId="41908E7E" w:rsidR="005611FC" w:rsidRPr="002E3C7A" w:rsidRDefault="005611FC" w:rsidP="00785DB6">
      <w:pPr>
        <w:rPr>
          <w:b/>
          <w:sz w:val="18"/>
          <w:szCs w:val="18"/>
        </w:rPr>
      </w:pPr>
      <w:r w:rsidRPr="002E3C7A">
        <w:rPr>
          <w:b/>
          <w:sz w:val="18"/>
          <w:szCs w:val="18"/>
        </w:rPr>
        <w:t>Citations</w:t>
      </w:r>
      <w:r w:rsidR="00B8203E">
        <w:rPr>
          <w:b/>
          <w:sz w:val="18"/>
          <w:szCs w:val="18"/>
        </w:rPr>
        <w:t xml:space="preserve"> &amp; Resources</w:t>
      </w:r>
      <w:r w:rsidR="002E3C7A">
        <w:rPr>
          <w:b/>
          <w:sz w:val="18"/>
          <w:szCs w:val="18"/>
        </w:rPr>
        <w:t>:</w:t>
      </w:r>
    </w:p>
    <w:p w14:paraId="135F0986" w14:textId="77777777" w:rsidR="00585FE7" w:rsidRPr="00BA62CB" w:rsidRDefault="00585FE7" w:rsidP="00585FE7">
      <w:pPr>
        <w:rPr>
          <w:rFonts w:ascii="Times New Roman" w:hAnsi="Times New Roman" w:cs="Times New Roman"/>
          <w:sz w:val="20"/>
          <w:szCs w:val="20"/>
        </w:rPr>
      </w:pPr>
      <w:proofErr w:type="spellStart"/>
      <w:proofErr w:type="gramStart"/>
      <w:r w:rsidRPr="00BA62CB">
        <w:rPr>
          <w:rFonts w:ascii="Times New Roman" w:hAnsi="Times New Roman" w:cs="Times New Roman"/>
          <w:sz w:val="20"/>
          <w:szCs w:val="20"/>
        </w:rPr>
        <w:t>Bartick</w:t>
      </w:r>
      <w:proofErr w:type="spellEnd"/>
      <w:r w:rsidRPr="00BA62CB">
        <w:rPr>
          <w:rFonts w:ascii="Times New Roman" w:hAnsi="Times New Roman" w:cs="Times New Roman"/>
          <w:sz w:val="20"/>
          <w:szCs w:val="20"/>
        </w:rPr>
        <w:t>, M., Reinhold, R., (2010).</w:t>
      </w:r>
      <w:proofErr w:type="gramEnd"/>
      <w:r w:rsidRPr="00BA62CB">
        <w:rPr>
          <w:rFonts w:ascii="Times New Roman" w:hAnsi="Times New Roman" w:cs="Times New Roman"/>
          <w:sz w:val="20"/>
          <w:szCs w:val="20"/>
        </w:rPr>
        <w:t xml:space="preserve"> The Burden of Suboptimal Breastfeeding in the United States: A Pediatric Cost Analysis. </w:t>
      </w:r>
      <w:proofErr w:type="gramStart"/>
      <w:r w:rsidRPr="00BA62CB">
        <w:rPr>
          <w:rFonts w:ascii="Times New Roman" w:hAnsi="Times New Roman" w:cs="Times New Roman"/>
          <w:sz w:val="20"/>
          <w:szCs w:val="20"/>
        </w:rPr>
        <w:t>Journal of Pediatrics.</w:t>
      </w:r>
      <w:proofErr w:type="gramEnd"/>
      <w:r w:rsidRPr="00BA62CB">
        <w:rPr>
          <w:rFonts w:ascii="Times New Roman" w:hAnsi="Times New Roman" w:cs="Times New Roman"/>
          <w:sz w:val="20"/>
          <w:szCs w:val="20"/>
        </w:rPr>
        <w:t xml:space="preserve"> March 2010. </w:t>
      </w:r>
    </w:p>
    <w:p w14:paraId="3FFD2103" w14:textId="77777777" w:rsidR="00585FE7" w:rsidRDefault="00585FE7" w:rsidP="00585FE7">
      <w:pPr>
        <w:rPr>
          <w:sz w:val="20"/>
          <w:szCs w:val="20"/>
        </w:rPr>
      </w:pPr>
    </w:p>
    <w:p w14:paraId="227C21E3" w14:textId="77777777" w:rsidR="00585FE7" w:rsidRPr="00BA62CB" w:rsidRDefault="00585FE7" w:rsidP="00585FE7">
      <w:pPr>
        <w:rPr>
          <w:sz w:val="20"/>
          <w:szCs w:val="20"/>
        </w:rPr>
      </w:pPr>
      <w:r w:rsidRPr="00BA62CB">
        <w:rPr>
          <w:sz w:val="20"/>
          <w:szCs w:val="20"/>
        </w:rPr>
        <w:t xml:space="preserve">Economics of Paid and Unpaid Leave – White House Council of Economic Advisors (June 2014) </w:t>
      </w:r>
      <w:hyperlink r:id="rId12" w:history="1">
        <w:r w:rsidRPr="00BA62CB">
          <w:rPr>
            <w:rStyle w:val="Hyperlink"/>
            <w:sz w:val="20"/>
            <w:szCs w:val="20"/>
          </w:rPr>
          <w:t>https://www.whitehouse.gov/sites/default/files/docs/leave_report_final.pdf</w:t>
        </w:r>
      </w:hyperlink>
      <w:r w:rsidRPr="00BA62CB">
        <w:rPr>
          <w:sz w:val="20"/>
          <w:szCs w:val="20"/>
        </w:rPr>
        <w:t xml:space="preserve"> (retrieved 10/25/16)</w:t>
      </w:r>
    </w:p>
    <w:p w14:paraId="56129578" w14:textId="77777777" w:rsidR="00585FE7" w:rsidRPr="00BA62CB" w:rsidRDefault="00585FE7" w:rsidP="00585FE7">
      <w:pPr>
        <w:rPr>
          <w:rFonts w:ascii="Times New Roman" w:hAnsi="Times New Roman" w:cs="Times New Roman"/>
          <w:sz w:val="20"/>
          <w:szCs w:val="20"/>
        </w:rPr>
      </w:pPr>
    </w:p>
    <w:p w14:paraId="42D0BBCA" w14:textId="77777777" w:rsidR="00585FE7" w:rsidRPr="00BA62CB" w:rsidRDefault="00585FE7" w:rsidP="00585FE7">
      <w:pPr>
        <w:rPr>
          <w:sz w:val="20"/>
          <w:szCs w:val="20"/>
        </w:rPr>
      </w:pPr>
      <w:r w:rsidRPr="00BA62CB">
        <w:rPr>
          <w:sz w:val="20"/>
          <w:szCs w:val="20"/>
        </w:rPr>
        <w:t xml:space="preserve">Should you offer Employees Health Care Benefits? (2014) Business Owner’s Toolkit </w:t>
      </w:r>
      <w:hyperlink r:id="rId13" w:history="1">
        <w:r w:rsidRPr="00BA62CB">
          <w:rPr>
            <w:rStyle w:val="Hyperlink"/>
            <w:sz w:val="20"/>
            <w:szCs w:val="20"/>
          </w:rPr>
          <w:t>http://www.bizfilings.com/toolkit/sbg/office-hr/managing-the-workplace/offering-health-care-benefits.aspx</w:t>
        </w:r>
      </w:hyperlink>
      <w:r w:rsidRPr="00BA62CB">
        <w:rPr>
          <w:sz w:val="20"/>
          <w:szCs w:val="20"/>
        </w:rPr>
        <w:t xml:space="preserve"> </w:t>
      </w:r>
    </w:p>
    <w:p w14:paraId="5CC10168" w14:textId="77777777" w:rsidR="00585FE7" w:rsidRPr="00BA62CB" w:rsidRDefault="00585FE7" w:rsidP="00585FE7">
      <w:pPr>
        <w:rPr>
          <w:sz w:val="20"/>
          <w:szCs w:val="20"/>
        </w:rPr>
      </w:pPr>
    </w:p>
    <w:p w14:paraId="26841E8E" w14:textId="6A5CC343" w:rsidR="00585FE7" w:rsidRPr="00BA62CB" w:rsidRDefault="00585FE7" w:rsidP="00585FE7">
      <w:pPr>
        <w:rPr>
          <w:sz w:val="20"/>
          <w:szCs w:val="20"/>
        </w:rPr>
      </w:pPr>
      <w:proofErr w:type="gramStart"/>
      <w:r w:rsidRPr="00BA62CB">
        <w:rPr>
          <w:sz w:val="20"/>
          <w:szCs w:val="20"/>
        </w:rPr>
        <w:t>U.S. Bureau of Labor Statistics.</w:t>
      </w:r>
      <w:proofErr w:type="gramEnd"/>
      <w:r w:rsidRPr="00BA62CB">
        <w:rPr>
          <w:sz w:val="20"/>
          <w:szCs w:val="20"/>
        </w:rPr>
        <w:t xml:space="preserve"> </w:t>
      </w:r>
      <w:proofErr w:type="gramStart"/>
      <w:r w:rsidRPr="00BA62CB">
        <w:rPr>
          <w:sz w:val="20"/>
          <w:szCs w:val="20"/>
        </w:rPr>
        <w:t>(2005) Division of working mother.</w:t>
      </w:r>
      <w:proofErr w:type="gramEnd"/>
      <w:r w:rsidRPr="00BA62CB">
        <w:rPr>
          <w:sz w:val="20"/>
          <w:szCs w:val="20"/>
        </w:rPr>
        <w:t xml:space="preserve"> Labor Force Statistics, Washington, D.C. Available at: </w:t>
      </w:r>
      <w:hyperlink r:id="rId14" w:history="1">
        <w:r w:rsidRPr="00BA62CB">
          <w:rPr>
            <w:rStyle w:val="Hyperlink"/>
            <w:sz w:val="20"/>
            <w:szCs w:val="20"/>
          </w:rPr>
          <w:t>http://www.bls.gov/ncs/ebs/benefits/2016/ownership_tab.htm</w:t>
        </w:r>
      </w:hyperlink>
    </w:p>
    <w:p w14:paraId="359501CE" w14:textId="77777777" w:rsidR="00585FE7" w:rsidRPr="00BA62CB" w:rsidRDefault="00585FE7" w:rsidP="00585FE7">
      <w:pPr>
        <w:rPr>
          <w:sz w:val="20"/>
          <w:szCs w:val="20"/>
        </w:rPr>
      </w:pPr>
    </w:p>
    <w:p w14:paraId="30731BF8" w14:textId="77777777" w:rsidR="00585FE7" w:rsidRPr="00BA62CB" w:rsidRDefault="00585FE7" w:rsidP="00585FE7">
      <w:pPr>
        <w:rPr>
          <w:sz w:val="20"/>
          <w:szCs w:val="20"/>
        </w:rPr>
      </w:pPr>
      <w:proofErr w:type="gramStart"/>
      <w:r w:rsidRPr="00BA62CB">
        <w:rPr>
          <w:sz w:val="20"/>
          <w:szCs w:val="20"/>
        </w:rPr>
        <w:t>National Immunization Survey.</w:t>
      </w:r>
      <w:proofErr w:type="gramEnd"/>
      <w:r w:rsidRPr="00BA62CB">
        <w:rPr>
          <w:sz w:val="20"/>
          <w:szCs w:val="20"/>
        </w:rPr>
        <w:t xml:space="preserve"> (2013). Centers for Disease Control and Prevention. Available online at: www.cdc.gov/ </w:t>
      </w:r>
    </w:p>
    <w:p w14:paraId="42011A5B" w14:textId="58968BC0" w:rsidR="002E3C7A" w:rsidRPr="004A7D2F" w:rsidRDefault="002E3C7A" w:rsidP="00585FE7">
      <w:pPr>
        <w:rPr>
          <w:color w:val="7F7F7F" w:themeColor="text1" w:themeTint="80"/>
          <w:sz w:val="18"/>
          <w:szCs w:val="18"/>
        </w:rPr>
      </w:pPr>
    </w:p>
    <w:sectPr w:rsidR="002E3C7A" w:rsidRPr="004A7D2F" w:rsidSect="00075C52">
      <w:headerReference w:type="default" r:id="rId15"/>
      <w:pgSz w:w="12240" w:h="15840"/>
      <w:pgMar w:top="1440" w:right="1512" w:bottom="1224"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0D80" w14:textId="77777777" w:rsidR="00BD2167" w:rsidRDefault="00BD2167" w:rsidP="00785DB6">
      <w:r>
        <w:separator/>
      </w:r>
    </w:p>
  </w:endnote>
  <w:endnote w:type="continuationSeparator" w:id="0">
    <w:p w14:paraId="232F1359" w14:textId="77777777" w:rsidR="00BD2167" w:rsidRDefault="00BD2167" w:rsidP="0078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0918" w14:textId="77777777" w:rsidR="00BD2167" w:rsidRDefault="00BD2167" w:rsidP="00785DB6">
      <w:r>
        <w:separator/>
      </w:r>
    </w:p>
  </w:footnote>
  <w:footnote w:type="continuationSeparator" w:id="0">
    <w:p w14:paraId="10227963" w14:textId="77777777" w:rsidR="00BD2167" w:rsidRDefault="00BD2167" w:rsidP="0078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F65F" w14:textId="014A7ED3" w:rsidR="00BD2167" w:rsidRPr="002E3C7A" w:rsidRDefault="00BD2167" w:rsidP="002E3C7A">
    <w:pPr>
      <w:pStyle w:val="Header"/>
      <w:jc w:val="right"/>
      <w:rPr>
        <w:color w:val="808080" w:themeColor="background1" w:themeShade="80"/>
        <w:sz w:val="20"/>
        <w:szCs w:val="20"/>
      </w:rPr>
    </w:pPr>
    <w:r>
      <w:rPr>
        <w:color w:val="808080" w:themeColor="background1" w:themeShade="80"/>
        <w:sz w:val="20"/>
        <w:szCs w:val="20"/>
      </w:rPr>
      <w:t>DRAFT May 17</w:t>
    </w:r>
    <w:r w:rsidRPr="002E3C7A">
      <w:rPr>
        <w:color w:val="808080" w:themeColor="background1" w:themeShade="80"/>
        <w:sz w:val="20"/>
        <w:szCs w:val="20"/>
      </w:rP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4C1"/>
    <w:multiLevelType w:val="hybridMultilevel"/>
    <w:tmpl w:val="014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A5B2F"/>
    <w:multiLevelType w:val="hybridMultilevel"/>
    <w:tmpl w:val="A7A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739EA"/>
    <w:multiLevelType w:val="hybridMultilevel"/>
    <w:tmpl w:val="5A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E76BE"/>
    <w:multiLevelType w:val="hybridMultilevel"/>
    <w:tmpl w:val="6BA0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A262B"/>
    <w:multiLevelType w:val="hybridMultilevel"/>
    <w:tmpl w:val="F96C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6"/>
    <w:rsid w:val="00055575"/>
    <w:rsid w:val="0006358D"/>
    <w:rsid w:val="00075C52"/>
    <w:rsid w:val="000E5098"/>
    <w:rsid w:val="000F0F50"/>
    <w:rsid w:val="00166BE8"/>
    <w:rsid w:val="001F615E"/>
    <w:rsid w:val="002E3C7A"/>
    <w:rsid w:val="002F1B68"/>
    <w:rsid w:val="0032494D"/>
    <w:rsid w:val="003257F9"/>
    <w:rsid w:val="00436874"/>
    <w:rsid w:val="00455ABE"/>
    <w:rsid w:val="00481221"/>
    <w:rsid w:val="004A7D2F"/>
    <w:rsid w:val="004B42ED"/>
    <w:rsid w:val="004C5A5E"/>
    <w:rsid w:val="0053052D"/>
    <w:rsid w:val="005611FC"/>
    <w:rsid w:val="00585FE7"/>
    <w:rsid w:val="005F74A9"/>
    <w:rsid w:val="006548DF"/>
    <w:rsid w:val="006C0315"/>
    <w:rsid w:val="006C3ECE"/>
    <w:rsid w:val="00763DAA"/>
    <w:rsid w:val="00785DB6"/>
    <w:rsid w:val="007B76F5"/>
    <w:rsid w:val="00A13B51"/>
    <w:rsid w:val="00A6168B"/>
    <w:rsid w:val="00A74951"/>
    <w:rsid w:val="00A979C2"/>
    <w:rsid w:val="00B45430"/>
    <w:rsid w:val="00B721E2"/>
    <w:rsid w:val="00B75AF3"/>
    <w:rsid w:val="00B8203E"/>
    <w:rsid w:val="00BA0C87"/>
    <w:rsid w:val="00BD2167"/>
    <w:rsid w:val="00C837F3"/>
    <w:rsid w:val="00D35465"/>
    <w:rsid w:val="00D536BF"/>
    <w:rsid w:val="00D77387"/>
    <w:rsid w:val="00E52764"/>
    <w:rsid w:val="00F45BAB"/>
    <w:rsid w:val="00F70387"/>
    <w:rsid w:val="00F9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1E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7A"/>
    <w:pPr>
      <w:ind w:left="720"/>
      <w:contextualSpacing/>
    </w:pPr>
  </w:style>
  <w:style w:type="character" w:styleId="Hyperlink">
    <w:name w:val="Hyperlink"/>
    <w:basedOn w:val="DefaultParagraphFont"/>
    <w:uiPriority w:val="99"/>
    <w:unhideWhenUsed/>
    <w:rsid w:val="002E3C7A"/>
    <w:rPr>
      <w:color w:val="0000FF" w:themeColor="hyperlink"/>
      <w:u w:val="single"/>
    </w:rPr>
  </w:style>
  <w:style w:type="character" w:customStyle="1" w:styleId="apple-converted-space">
    <w:name w:val="apple-converted-space"/>
    <w:basedOn w:val="DefaultParagraphFont"/>
    <w:rsid w:val="002E3C7A"/>
  </w:style>
  <w:style w:type="character" w:styleId="Strong">
    <w:name w:val="Strong"/>
    <w:basedOn w:val="DefaultParagraphFont"/>
    <w:uiPriority w:val="22"/>
    <w:qFormat/>
    <w:rsid w:val="002E3C7A"/>
    <w:rPr>
      <w:b/>
      <w:bCs/>
    </w:rPr>
  </w:style>
  <w:style w:type="paragraph" w:customStyle="1" w:styleId="Default">
    <w:name w:val="Default"/>
    <w:rsid w:val="00166BE8"/>
    <w:pPr>
      <w:widowControl w:val="0"/>
      <w:autoSpaceDE w:val="0"/>
      <w:autoSpaceDN w:val="0"/>
      <w:adjustRightInd w:val="0"/>
    </w:pPr>
    <w:rPr>
      <w:rFonts w:ascii="GillSans" w:hAnsi="GillSans" w:cs="GillSans"/>
      <w:color w:val="000000"/>
    </w:rPr>
  </w:style>
  <w:style w:type="paragraph" w:styleId="NormalWeb">
    <w:name w:val="Normal (Web)"/>
    <w:basedOn w:val="Normal"/>
    <w:uiPriority w:val="99"/>
    <w:unhideWhenUsed/>
    <w:rsid w:val="00F703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7A"/>
    <w:pPr>
      <w:ind w:left="720"/>
      <w:contextualSpacing/>
    </w:pPr>
  </w:style>
  <w:style w:type="character" w:styleId="Hyperlink">
    <w:name w:val="Hyperlink"/>
    <w:basedOn w:val="DefaultParagraphFont"/>
    <w:uiPriority w:val="99"/>
    <w:unhideWhenUsed/>
    <w:rsid w:val="002E3C7A"/>
    <w:rPr>
      <w:color w:val="0000FF" w:themeColor="hyperlink"/>
      <w:u w:val="single"/>
    </w:rPr>
  </w:style>
  <w:style w:type="character" w:customStyle="1" w:styleId="apple-converted-space">
    <w:name w:val="apple-converted-space"/>
    <w:basedOn w:val="DefaultParagraphFont"/>
    <w:rsid w:val="002E3C7A"/>
  </w:style>
  <w:style w:type="character" w:styleId="Strong">
    <w:name w:val="Strong"/>
    <w:basedOn w:val="DefaultParagraphFont"/>
    <w:uiPriority w:val="22"/>
    <w:qFormat/>
    <w:rsid w:val="002E3C7A"/>
    <w:rPr>
      <w:b/>
      <w:bCs/>
    </w:rPr>
  </w:style>
  <w:style w:type="paragraph" w:customStyle="1" w:styleId="Default">
    <w:name w:val="Default"/>
    <w:rsid w:val="00166BE8"/>
    <w:pPr>
      <w:widowControl w:val="0"/>
      <w:autoSpaceDE w:val="0"/>
      <w:autoSpaceDN w:val="0"/>
      <w:adjustRightInd w:val="0"/>
    </w:pPr>
    <w:rPr>
      <w:rFonts w:ascii="GillSans" w:hAnsi="GillSans" w:cs="GillSans"/>
      <w:color w:val="000000"/>
    </w:rPr>
  </w:style>
  <w:style w:type="paragraph" w:styleId="NormalWeb">
    <w:name w:val="Normal (Web)"/>
    <w:basedOn w:val="Normal"/>
    <w:uiPriority w:val="99"/>
    <w:unhideWhenUsed/>
    <w:rsid w:val="00F703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9693">
      <w:bodyDiv w:val="1"/>
      <w:marLeft w:val="0"/>
      <w:marRight w:val="0"/>
      <w:marTop w:val="0"/>
      <w:marBottom w:val="0"/>
      <w:divBdr>
        <w:top w:val="none" w:sz="0" w:space="0" w:color="auto"/>
        <w:left w:val="none" w:sz="0" w:space="0" w:color="auto"/>
        <w:bottom w:val="none" w:sz="0" w:space="0" w:color="auto"/>
        <w:right w:val="none" w:sz="0" w:space="0" w:color="auto"/>
      </w:divBdr>
    </w:div>
    <w:div w:id="2117433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ss.gov/edu/docs/eec/licensing/technical-assistance/guide-health-care-policies.pdf" TargetMode="External"/><Relationship Id="rId12" Type="http://schemas.openxmlformats.org/officeDocument/2006/relationships/hyperlink" Target="https://www.whitehouse.gov/sites/default/files/docs/leave_report_final.pdf" TargetMode="External"/><Relationship Id="rId13" Type="http://schemas.openxmlformats.org/officeDocument/2006/relationships/hyperlink" Target="http://www.bizfilings.com/toolkit/sbg/office-hr/managing-the-workplace/offering-health-care-benefits.aspx" TargetMode="External"/><Relationship Id="rId14" Type="http://schemas.openxmlformats.org/officeDocument/2006/relationships/hyperlink" Target="http://www.bls.gov/ncs/ebs/benefits/2016/ownership_tab.ht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mallbusiness.findlaw.com/employment-law-and-human-resources/pro-and-cons-offering-employee-benefits.html" TargetMode="External"/><Relationship Id="rId10" Type="http://schemas.openxmlformats.org/officeDocument/2006/relationships/hyperlink" Target="https://www.humana.com/individual-and-family/products-and-services/medical-plans/sampl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739</Words>
  <Characters>4213</Characters>
  <Application>Microsoft Macintosh Word</Application>
  <DocSecurity>0</DocSecurity>
  <Lines>35</Lines>
  <Paragraphs>9</Paragraphs>
  <ScaleCrop>false</ScaleCrop>
  <Company>Apex Evaluation</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Skogerboe</dc:creator>
  <cp:keywords/>
  <dc:description/>
  <cp:lastModifiedBy>Natalie Skogerboe</cp:lastModifiedBy>
  <cp:revision>9</cp:revision>
  <cp:lastPrinted>2017-04-24T22:43:00Z</cp:lastPrinted>
  <dcterms:created xsi:type="dcterms:W3CDTF">2017-05-17T16:38:00Z</dcterms:created>
  <dcterms:modified xsi:type="dcterms:W3CDTF">2017-05-17T23:03:00Z</dcterms:modified>
</cp:coreProperties>
</file>