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421BF" w14:textId="61CF71BA" w:rsidR="00C96048" w:rsidRPr="00C96048" w:rsidRDefault="00C96048" w:rsidP="00785DB6">
      <w:pPr>
        <w:jc w:val="center"/>
        <w:rPr>
          <w:b/>
          <w:color w:val="31849B" w:themeColor="accent5" w:themeShade="BF"/>
          <w:sz w:val="32"/>
          <w:szCs w:val="32"/>
        </w:rPr>
      </w:pPr>
      <w:r w:rsidRPr="00C96048">
        <w:rPr>
          <w:b/>
          <w:color w:val="31849B" w:themeColor="accent5" w:themeShade="BF"/>
          <w:sz w:val="32"/>
          <w:szCs w:val="32"/>
        </w:rPr>
        <w:t>HEALTH SUPPORT</w:t>
      </w:r>
    </w:p>
    <w:p w14:paraId="72146210" w14:textId="77777777" w:rsidR="007B76F5" w:rsidRPr="00785DB6" w:rsidRDefault="00785DB6" w:rsidP="00785DB6">
      <w:pPr>
        <w:jc w:val="center"/>
        <w:rPr>
          <w:b/>
        </w:rPr>
      </w:pPr>
      <w:r w:rsidRPr="00785DB6">
        <w:rPr>
          <w:b/>
        </w:rPr>
        <w:t>Family Friendly New Mexico – Business Toolkit</w:t>
      </w:r>
    </w:p>
    <w:p w14:paraId="1302E4F8" w14:textId="77777777" w:rsidR="00785DB6" w:rsidRDefault="00785DB6" w:rsidP="00785DB6">
      <w:pPr>
        <w:jc w:val="center"/>
      </w:pPr>
    </w:p>
    <w:p w14:paraId="6F33A4D1" w14:textId="77777777" w:rsidR="00BD2DA4" w:rsidRDefault="00BD2DA4" w:rsidP="00BD2DA4">
      <w:pPr>
        <w:rPr>
          <w:b/>
        </w:rPr>
      </w:pPr>
      <w:r w:rsidRPr="00763DAA">
        <w:rPr>
          <w:b/>
        </w:rPr>
        <w:t>What the research tells us</w:t>
      </w:r>
    </w:p>
    <w:p w14:paraId="365AC492" w14:textId="728403F5" w:rsidR="00C66B46" w:rsidRDefault="00C66B46" w:rsidP="00BD2DA4">
      <w:r>
        <w:t>Healthy employees benefit employers. Creating a positive, safe and healthy working environment increases morale, improves employee’s work-life balance and positively impacts business (</w:t>
      </w:r>
      <w:r w:rsidR="00BA62CB">
        <w:t>White House Council of Economic Advisors, 2014</w:t>
      </w:r>
      <w:r>
        <w:t xml:space="preserve">). Healthier employees are absent less, are motivated to stay </w:t>
      </w:r>
      <w:r w:rsidR="00CE2207">
        <w:t>in a job, and often recover from sickness quicker. Healthcare benefits are optional for most employers, but are critically important to most employees. Offering health in</w:t>
      </w:r>
      <w:r w:rsidR="00DF698C">
        <w:t>surance,</w:t>
      </w:r>
      <w:r w:rsidR="00CE2207">
        <w:t xml:space="preserve"> other </w:t>
      </w:r>
      <w:r w:rsidR="000D3451">
        <w:t>support</w:t>
      </w:r>
      <w:r w:rsidR="00DF698C">
        <w:t xml:space="preserve"> such as breastfeeding locations and reasonable accommodations for conditions arising out of pregnancy, or wellness programs helps businesses</w:t>
      </w:r>
      <w:r w:rsidR="000D3451">
        <w:t xml:space="preserve"> attract and retai</w:t>
      </w:r>
      <w:r w:rsidR="00BD31E5">
        <w:t>n the most qualified employees.</w:t>
      </w:r>
    </w:p>
    <w:p w14:paraId="08A28A76" w14:textId="77777777" w:rsidR="00C66B46" w:rsidRDefault="00C66B46" w:rsidP="00BD2DA4"/>
    <w:p w14:paraId="25145FCF" w14:textId="77777777" w:rsidR="005611FC" w:rsidRDefault="005611FC" w:rsidP="00785DB6">
      <w:pPr>
        <w:rPr>
          <w:b/>
        </w:rPr>
      </w:pPr>
      <w:r>
        <w:rPr>
          <w:b/>
        </w:rPr>
        <w:t>Definition</w:t>
      </w:r>
    </w:p>
    <w:tbl>
      <w:tblPr>
        <w:tblStyle w:val="TableGrid"/>
        <w:tblW w:w="90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760"/>
      </w:tblGrid>
      <w:tr w:rsidR="00A8407C" w:rsidRPr="00C02AED" w14:paraId="1FF25FBD" w14:textId="77777777" w:rsidTr="00A8407C">
        <w:tc>
          <w:tcPr>
            <w:tcW w:w="9018" w:type="dxa"/>
            <w:gridSpan w:val="2"/>
            <w:shd w:val="clear" w:color="auto" w:fill="ACD8D8"/>
          </w:tcPr>
          <w:p w14:paraId="1E14D314" w14:textId="0C09750E" w:rsidR="00A8407C" w:rsidRPr="007A134A" w:rsidRDefault="00A8407C" w:rsidP="00A8407C">
            <w:pPr>
              <w:jc w:val="center"/>
              <w:rPr>
                <w:b/>
              </w:rPr>
            </w:pPr>
            <w:r w:rsidRPr="007A134A">
              <w:rPr>
                <w:b/>
              </w:rPr>
              <w:t>Family Frie</w:t>
            </w:r>
            <w:r>
              <w:rPr>
                <w:b/>
              </w:rPr>
              <w:t>ndly New Mexico recognizes four Health Support</w:t>
            </w:r>
            <w:r w:rsidRPr="007A134A">
              <w:rPr>
                <w:b/>
              </w:rPr>
              <w:t xml:space="preserve"> Policies</w:t>
            </w:r>
          </w:p>
        </w:tc>
      </w:tr>
      <w:tr w:rsidR="00A8407C" w:rsidRPr="007A134A" w14:paraId="33787C89" w14:textId="77777777" w:rsidTr="00A8407C">
        <w:tc>
          <w:tcPr>
            <w:tcW w:w="3258" w:type="dxa"/>
            <w:shd w:val="clear" w:color="auto" w:fill="E6E6E6"/>
          </w:tcPr>
          <w:p w14:paraId="304F955A" w14:textId="77777777" w:rsidR="00A8407C" w:rsidRPr="007A134A" w:rsidRDefault="00A8407C" w:rsidP="00A8407C">
            <w:pPr>
              <w:jc w:val="center"/>
              <w:rPr>
                <w:b/>
              </w:rPr>
            </w:pPr>
            <w:r w:rsidRPr="007A134A">
              <w:rPr>
                <w:b/>
              </w:rPr>
              <w:t>Policy Type</w:t>
            </w:r>
          </w:p>
        </w:tc>
        <w:tc>
          <w:tcPr>
            <w:tcW w:w="5760" w:type="dxa"/>
            <w:shd w:val="clear" w:color="auto" w:fill="E6E6E6"/>
          </w:tcPr>
          <w:p w14:paraId="7821604E" w14:textId="77777777" w:rsidR="00A8407C" w:rsidRPr="007A134A" w:rsidRDefault="00A8407C" w:rsidP="00A8407C">
            <w:pPr>
              <w:jc w:val="center"/>
              <w:rPr>
                <w:b/>
              </w:rPr>
            </w:pPr>
            <w:r w:rsidRPr="007A134A">
              <w:rPr>
                <w:b/>
              </w:rPr>
              <w:t>Definition</w:t>
            </w:r>
          </w:p>
        </w:tc>
      </w:tr>
      <w:tr w:rsidR="00A8407C" w:rsidRPr="00C02AED" w14:paraId="13E86F32" w14:textId="77777777" w:rsidTr="00A8407C">
        <w:tc>
          <w:tcPr>
            <w:tcW w:w="3258" w:type="dxa"/>
            <w:vAlign w:val="center"/>
          </w:tcPr>
          <w:p w14:paraId="5916DC7B" w14:textId="72DE72D1" w:rsidR="00A8407C" w:rsidRPr="00C02AED" w:rsidRDefault="00A8407C" w:rsidP="00A8407C">
            <w:pPr>
              <w:jc w:val="center"/>
              <w:rPr>
                <w:b/>
              </w:rPr>
            </w:pPr>
            <w:r>
              <w:rPr>
                <w:b/>
              </w:rPr>
              <w:t>Healthcare</w:t>
            </w:r>
          </w:p>
        </w:tc>
        <w:tc>
          <w:tcPr>
            <w:tcW w:w="5760" w:type="dxa"/>
          </w:tcPr>
          <w:p w14:paraId="5D154442" w14:textId="074CB107" w:rsidR="00A8407C" w:rsidRPr="00C02AED" w:rsidRDefault="00A8407C" w:rsidP="00A8407C">
            <w:pPr>
              <w:rPr>
                <w:sz w:val="22"/>
                <w:szCs w:val="22"/>
              </w:rPr>
            </w:pPr>
            <w:r>
              <w:rPr>
                <w:sz w:val="22"/>
                <w:szCs w:val="22"/>
              </w:rPr>
              <w:t>Employer subsidized health and/or dental</w:t>
            </w:r>
            <w:r w:rsidR="00DF698C">
              <w:rPr>
                <w:sz w:val="22"/>
                <w:szCs w:val="22"/>
              </w:rPr>
              <w:t xml:space="preserve"> and/or vision</w:t>
            </w:r>
            <w:r>
              <w:rPr>
                <w:sz w:val="22"/>
                <w:szCs w:val="22"/>
              </w:rPr>
              <w:t xml:space="preserve"> insurance</w:t>
            </w:r>
          </w:p>
        </w:tc>
      </w:tr>
      <w:tr w:rsidR="00A8407C" w:rsidRPr="00C02AED" w14:paraId="7A76C595" w14:textId="77777777" w:rsidTr="00A8407C">
        <w:tc>
          <w:tcPr>
            <w:tcW w:w="3258" w:type="dxa"/>
            <w:vAlign w:val="center"/>
          </w:tcPr>
          <w:p w14:paraId="56FE951F" w14:textId="3BC35B4F" w:rsidR="00A8407C" w:rsidRDefault="00A8407C" w:rsidP="00A8407C">
            <w:pPr>
              <w:jc w:val="center"/>
              <w:rPr>
                <w:b/>
              </w:rPr>
            </w:pPr>
            <w:r>
              <w:rPr>
                <w:b/>
              </w:rPr>
              <w:t>Wellness Programs</w:t>
            </w:r>
          </w:p>
        </w:tc>
        <w:tc>
          <w:tcPr>
            <w:tcW w:w="5760" w:type="dxa"/>
          </w:tcPr>
          <w:p w14:paraId="7FABBCCB" w14:textId="7F1B56A0" w:rsidR="00A8407C" w:rsidRPr="00395B93" w:rsidRDefault="00A8407C" w:rsidP="00A8407C">
            <w:pPr>
              <w:rPr>
                <w:sz w:val="22"/>
                <w:szCs w:val="22"/>
              </w:rPr>
            </w:pPr>
            <w:r>
              <w:rPr>
                <w:sz w:val="22"/>
                <w:szCs w:val="22"/>
              </w:rPr>
              <w:t xml:space="preserve">This could include wellness assessments, screenings, education, health coaching, organized wellness activities, onsite preventative care like immunizations, interventions such as smoking cessation, incentive and /or paid time off for wellness activities. </w:t>
            </w:r>
          </w:p>
        </w:tc>
      </w:tr>
      <w:tr w:rsidR="00DF698C" w:rsidRPr="00C02AED" w14:paraId="24F08598" w14:textId="77777777" w:rsidTr="00DF698C">
        <w:tc>
          <w:tcPr>
            <w:tcW w:w="3258" w:type="dxa"/>
            <w:vAlign w:val="center"/>
          </w:tcPr>
          <w:p w14:paraId="11955CA1" w14:textId="77777777" w:rsidR="00DF698C" w:rsidRPr="00C02AED" w:rsidRDefault="00DF698C" w:rsidP="00DF698C">
            <w:pPr>
              <w:jc w:val="center"/>
              <w:rPr>
                <w:b/>
              </w:rPr>
            </w:pPr>
            <w:r>
              <w:rPr>
                <w:b/>
              </w:rPr>
              <w:t>Breastfeeding / Lactation Support</w:t>
            </w:r>
          </w:p>
        </w:tc>
        <w:tc>
          <w:tcPr>
            <w:tcW w:w="5760" w:type="dxa"/>
          </w:tcPr>
          <w:p w14:paraId="2A0F3853" w14:textId="6E5B1694" w:rsidR="00DF698C" w:rsidRPr="00BD2DA4" w:rsidRDefault="00DF698C" w:rsidP="00DF698C">
            <w:pPr>
              <w:rPr>
                <w:sz w:val="22"/>
                <w:szCs w:val="22"/>
              </w:rPr>
            </w:pPr>
            <w:r w:rsidRPr="00BD2DA4">
              <w:rPr>
                <w:sz w:val="22"/>
                <w:szCs w:val="22"/>
              </w:rPr>
              <w:t>This could include a designate</w:t>
            </w:r>
            <w:r>
              <w:rPr>
                <w:sz w:val="22"/>
                <w:szCs w:val="22"/>
              </w:rPr>
              <w:t>d</w:t>
            </w:r>
            <w:r w:rsidRPr="00BD2DA4">
              <w:rPr>
                <w:sz w:val="22"/>
                <w:szCs w:val="22"/>
              </w:rPr>
              <w:t xml:space="preserve"> area for pumping</w:t>
            </w:r>
            <w:r>
              <w:rPr>
                <w:sz w:val="22"/>
                <w:szCs w:val="22"/>
              </w:rPr>
              <w:t xml:space="preserve"> </w:t>
            </w:r>
            <w:r w:rsidRPr="00BD2DA4">
              <w:rPr>
                <w:sz w:val="22"/>
                <w:szCs w:val="22"/>
              </w:rPr>
              <w:t>/</w:t>
            </w:r>
            <w:r>
              <w:rPr>
                <w:sz w:val="22"/>
                <w:szCs w:val="22"/>
              </w:rPr>
              <w:t xml:space="preserve"> </w:t>
            </w:r>
            <w:r w:rsidRPr="00BD2DA4">
              <w:rPr>
                <w:sz w:val="22"/>
                <w:szCs w:val="22"/>
              </w:rPr>
              <w:t>breastfeeding</w:t>
            </w:r>
            <w:r w:rsidR="009D6826">
              <w:rPr>
                <w:sz w:val="22"/>
                <w:szCs w:val="22"/>
              </w:rPr>
              <w:t>.</w:t>
            </w:r>
          </w:p>
        </w:tc>
      </w:tr>
      <w:tr w:rsidR="00A8407C" w:rsidRPr="00C02AED" w14:paraId="586557A7" w14:textId="77777777" w:rsidTr="00A8407C">
        <w:tc>
          <w:tcPr>
            <w:tcW w:w="3258" w:type="dxa"/>
            <w:vAlign w:val="center"/>
          </w:tcPr>
          <w:p w14:paraId="1014181D" w14:textId="42E08E64" w:rsidR="00A8407C" w:rsidRDefault="00A8407C" w:rsidP="00A8407C">
            <w:pPr>
              <w:jc w:val="center"/>
              <w:rPr>
                <w:b/>
              </w:rPr>
            </w:pPr>
            <w:r>
              <w:rPr>
                <w:b/>
              </w:rPr>
              <w:t>Reasonable Accommodations</w:t>
            </w:r>
          </w:p>
        </w:tc>
        <w:tc>
          <w:tcPr>
            <w:tcW w:w="5760" w:type="dxa"/>
          </w:tcPr>
          <w:p w14:paraId="6DEDD731" w14:textId="40580BF5" w:rsidR="00A8407C" w:rsidRPr="00395B93" w:rsidRDefault="00A8407C" w:rsidP="00C66B46">
            <w:pPr>
              <w:rPr>
                <w:sz w:val="22"/>
                <w:szCs w:val="22"/>
              </w:rPr>
            </w:pPr>
            <w:r>
              <w:rPr>
                <w:sz w:val="22"/>
                <w:szCs w:val="22"/>
              </w:rPr>
              <w:t xml:space="preserve">This is designed </w:t>
            </w:r>
            <w:r w:rsidR="00C66B46">
              <w:rPr>
                <w:sz w:val="22"/>
                <w:szCs w:val="22"/>
              </w:rPr>
              <w:t>to help accommodate</w:t>
            </w:r>
            <w:r>
              <w:rPr>
                <w:sz w:val="22"/>
                <w:szCs w:val="22"/>
              </w:rPr>
              <w:t xml:space="preserve"> employees </w:t>
            </w:r>
            <w:r w:rsidR="00BD2DA4">
              <w:rPr>
                <w:sz w:val="22"/>
                <w:szCs w:val="22"/>
              </w:rPr>
              <w:t xml:space="preserve">who have special needs arising out of pregnancy (avoiding heavy lifting, stating off ladders, etc). </w:t>
            </w:r>
          </w:p>
        </w:tc>
      </w:tr>
    </w:tbl>
    <w:p w14:paraId="0206B02B" w14:textId="77777777" w:rsidR="005611FC" w:rsidRDefault="005611FC" w:rsidP="00785DB6">
      <w:pPr>
        <w:rPr>
          <w:b/>
        </w:rPr>
      </w:pPr>
    </w:p>
    <w:p w14:paraId="05B702D8" w14:textId="77777777" w:rsidR="00436874" w:rsidRPr="00436874" w:rsidRDefault="00436874" w:rsidP="00785DB6"/>
    <w:p w14:paraId="6AC12117" w14:textId="53C1CE25" w:rsidR="00055575" w:rsidRDefault="00055575" w:rsidP="00055575">
      <w:pPr>
        <w:rPr>
          <w:b/>
        </w:rPr>
      </w:pPr>
      <w:r w:rsidRPr="00842D50">
        <w:rPr>
          <w:b/>
        </w:rPr>
        <w:t>What are the benefits</w:t>
      </w:r>
      <w:r w:rsidR="000D3451">
        <w:rPr>
          <w:b/>
        </w:rPr>
        <w:t xml:space="preserve"> of offering Health Support</w:t>
      </w:r>
      <w:r w:rsidRPr="00842D50">
        <w:rPr>
          <w:b/>
        </w:rPr>
        <w:t>?</w:t>
      </w:r>
    </w:p>
    <w:p w14:paraId="4D0E3416" w14:textId="2ED0DA52" w:rsidR="000D3451" w:rsidRDefault="00DE0193" w:rsidP="00DE0193">
      <w:pPr>
        <w:pStyle w:val="ListParagraph"/>
        <w:numPr>
          <w:ilvl w:val="0"/>
          <w:numId w:val="2"/>
        </w:numPr>
      </w:pPr>
      <w:r>
        <w:t>A benefits package that offers good health insurance coverage (including dental and vision) helps attract and retain quality employees</w:t>
      </w:r>
      <w:r w:rsidR="00E3397A">
        <w:t xml:space="preserve">. </w:t>
      </w:r>
    </w:p>
    <w:p w14:paraId="28D7855F" w14:textId="74F1920D" w:rsidR="00DE0193" w:rsidRDefault="00DE0193" w:rsidP="00DE0193">
      <w:pPr>
        <w:pStyle w:val="ListParagraph"/>
        <w:numPr>
          <w:ilvl w:val="0"/>
          <w:numId w:val="2"/>
        </w:numPr>
      </w:pPr>
      <w:r>
        <w:t xml:space="preserve">Businesses get the tax advantage of deducting plan contributions, including health insurance, life insurance, and pension plans. </w:t>
      </w:r>
    </w:p>
    <w:p w14:paraId="66CC4304" w14:textId="0544CF5E" w:rsidR="00DE0193" w:rsidRDefault="00DE0193" w:rsidP="00DE0193">
      <w:pPr>
        <w:pStyle w:val="ListParagraph"/>
        <w:numPr>
          <w:ilvl w:val="0"/>
          <w:numId w:val="2"/>
        </w:numPr>
      </w:pPr>
      <w:r>
        <w:t>Employees often will accept better benefits in lieu of higher salary, which can be a savings to the business.</w:t>
      </w:r>
    </w:p>
    <w:p w14:paraId="362D5C90" w14:textId="424AEC96" w:rsidR="00DE0193" w:rsidRDefault="00DE0193" w:rsidP="00DE0193">
      <w:pPr>
        <w:pStyle w:val="ListParagraph"/>
        <w:numPr>
          <w:ilvl w:val="0"/>
          <w:numId w:val="2"/>
        </w:numPr>
      </w:pPr>
      <w:r>
        <w:t>Offering benefits to employees can be advantageous to a business owner, who may be able to get personal benefits for less money than if he or she purchased them privately.</w:t>
      </w:r>
    </w:p>
    <w:p w14:paraId="6736F466" w14:textId="40AF39E2" w:rsidR="00DE0193" w:rsidRDefault="00DE0193" w:rsidP="00DE0193">
      <w:pPr>
        <w:pStyle w:val="ListParagraph"/>
        <w:numPr>
          <w:ilvl w:val="0"/>
          <w:numId w:val="2"/>
        </w:numPr>
      </w:pPr>
      <w:r>
        <w:t xml:space="preserve">Offering health insurance has been shown to decrease absenteeism and improve employee health and morale; those with coverage are more likely to seek preventative care and live overall healthier lives. </w:t>
      </w:r>
    </w:p>
    <w:p w14:paraId="1D544C44" w14:textId="4F288666" w:rsidR="00E3397A" w:rsidRDefault="00E3397A" w:rsidP="00DE0193">
      <w:pPr>
        <w:pStyle w:val="ListParagraph"/>
        <w:numPr>
          <w:ilvl w:val="0"/>
          <w:numId w:val="2"/>
        </w:numPr>
      </w:pPr>
      <w:r>
        <w:t>This type of support helps protect employees from financial peril.</w:t>
      </w:r>
    </w:p>
    <w:p w14:paraId="17122B83" w14:textId="55880860" w:rsidR="00DE0193" w:rsidRDefault="00DE0193" w:rsidP="00055575">
      <w:pPr>
        <w:rPr>
          <w:rStyle w:val="Hyperlink"/>
          <w:sz w:val="20"/>
          <w:szCs w:val="20"/>
        </w:rPr>
      </w:pPr>
      <w:r w:rsidRPr="00DE0193">
        <w:rPr>
          <w:sz w:val="20"/>
          <w:szCs w:val="20"/>
        </w:rPr>
        <w:t xml:space="preserve">SOURCE: </w:t>
      </w:r>
      <w:hyperlink r:id="rId8" w:history="1">
        <w:r w:rsidRPr="00DE0193">
          <w:rPr>
            <w:rStyle w:val="Hyperlink"/>
            <w:sz w:val="20"/>
            <w:szCs w:val="20"/>
          </w:rPr>
          <w:t>http://smallbusiness.findlaw.com/employment-law-and-human-resources/pro-and-cons-offering-employee-benefits.html</w:t>
        </w:r>
      </w:hyperlink>
    </w:p>
    <w:p w14:paraId="64AF6EE9" w14:textId="77777777" w:rsidR="00BD31E5" w:rsidRPr="00DE0193" w:rsidRDefault="00BD31E5" w:rsidP="00055575">
      <w:pPr>
        <w:rPr>
          <w:sz w:val="20"/>
          <w:szCs w:val="20"/>
        </w:rPr>
      </w:pPr>
    </w:p>
    <w:p w14:paraId="7D204658" w14:textId="26A07CF9" w:rsidR="00DE0193" w:rsidRPr="000D3451" w:rsidRDefault="006F6FCD" w:rsidP="00055575">
      <w:r w:rsidRPr="00F67245">
        <w:rPr>
          <w:noProof/>
          <w:u w:val="single"/>
        </w:rPr>
        <mc:AlternateContent>
          <mc:Choice Requires="wps">
            <w:drawing>
              <wp:anchor distT="0" distB="0" distL="114300" distR="114300" simplePos="0" relativeHeight="251667456" behindDoc="0" locked="0" layoutInCell="1" allowOverlap="1" wp14:anchorId="75E73432" wp14:editId="0AB06832">
                <wp:simplePos x="0" y="0"/>
                <wp:positionH relativeFrom="column">
                  <wp:posOffset>-342900</wp:posOffset>
                </wp:positionH>
                <wp:positionV relativeFrom="paragraph">
                  <wp:posOffset>140970</wp:posOffset>
                </wp:positionV>
                <wp:extent cx="6515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95pt,11.1pt" to="486.0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" strokecolor="#4f81bd [3204]" strokeweight="2pt">
                <v:shadow on="t" opacity="24903f" mv:blur="40000f" origin=",.5" offset="0,20000emu"/>
              </v:line>
            </w:pict>
          </mc:Fallback>
        </mc:AlternateContent>
      </w:r>
    </w:p>
    <w:p w14:paraId="393EC712" w14:textId="77777777" w:rsidR="00BD31E5" w:rsidRDefault="00BD31E5" w:rsidP="00055575">
      <w:pPr>
        <w:rPr>
          <w:b/>
        </w:rPr>
      </w:pPr>
    </w:p>
    <w:p w14:paraId="47C460C9" w14:textId="73D73B8D" w:rsidR="000D3451" w:rsidRDefault="00D016B4" w:rsidP="00055575">
      <w:pPr>
        <w:rPr>
          <w:b/>
        </w:rPr>
      </w:pPr>
      <w:r w:rsidRPr="00842D50">
        <w:rPr>
          <w:b/>
        </w:rPr>
        <w:t>What are the benefits</w:t>
      </w:r>
      <w:r>
        <w:rPr>
          <w:b/>
        </w:rPr>
        <w:t xml:space="preserve"> of offering </w:t>
      </w:r>
      <w:r w:rsidR="00772D8E">
        <w:rPr>
          <w:b/>
        </w:rPr>
        <w:t>Breastfeeding</w:t>
      </w:r>
      <w:r>
        <w:rPr>
          <w:b/>
        </w:rPr>
        <w:t xml:space="preserve"> support?</w:t>
      </w:r>
    </w:p>
    <w:p w14:paraId="69570851" w14:textId="428EF671" w:rsidR="001A3551" w:rsidRDefault="00147537" w:rsidP="001A3551">
      <w:r>
        <w:t xml:space="preserve">Better infant health means fewer health insurance claims, less employee time off to care for sick children, and higher productivity. Families who follow optimal breastfeeding practices can save $1,500 in expenditures on infant formula in the first year alone. A study published in </w:t>
      </w:r>
      <w:r w:rsidR="00B77B20">
        <w:t>2010</w:t>
      </w:r>
      <w:r>
        <w:t xml:space="preserve"> in the Journal of Pediatrics estimated that if 90% of US families followed guidelines to breastfeed exclusively for six months, the US would annually save $13 billion from reduced medical and other costs</w:t>
      </w:r>
      <w:r w:rsidR="00B77B20">
        <w:t xml:space="preserve"> (Bartick &amp; Reinhold, 2010)</w:t>
      </w:r>
      <w:r>
        <w:t>. Mutual of Omaha found that health care costs for newborns are three times lower for babies whose mothers participate in the company’s employee maternity and lactation program.</w:t>
      </w:r>
      <w:r w:rsidR="001A3551">
        <w:t xml:space="preserve"> Breastfeeding has also been shown to influence the cognitive and emotional development of children (Del Bono and Rabe 2012).</w:t>
      </w:r>
      <w:r w:rsidR="00C20032">
        <w:t xml:space="preserve"> CIGNA Insurance Case Study found lactation programs resulted in 77% reduction in lost work time due to infant illness (annual savings of $60,000) (Dickson, 2004)</w:t>
      </w:r>
      <w:r w:rsidR="006E162F">
        <w:t>.</w:t>
      </w:r>
    </w:p>
    <w:p w14:paraId="0AE4140D" w14:textId="0C33EF5F" w:rsidR="00147537" w:rsidRDefault="00147537" w:rsidP="00147537"/>
    <w:p w14:paraId="749EC43F" w14:textId="77777777" w:rsidR="00147537" w:rsidRDefault="00147537" w:rsidP="00147537">
      <w:r>
        <w:t>Employers can help by:</w:t>
      </w:r>
    </w:p>
    <w:p w14:paraId="23FE6F8A" w14:textId="115D94F4" w:rsidR="00147537" w:rsidRDefault="00147537" w:rsidP="00147537">
      <w:pPr>
        <w:pStyle w:val="ListParagraph"/>
        <w:numPr>
          <w:ilvl w:val="0"/>
          <w:numId w:val="9"/>
        </w:numPr>
      </w:pPr>
      <w:r>
        <w:t xml:space="preserve">Starting or maintaining high-quality lactation support programs for employees, </w:t>
      </w:r>
    </w:p>
    <w:p w14:paraId="6B0EDD58" w14:textId="0E9F7EBF" w:rsidR="00147537" w:rsidRDefault="00147537" w:rsidP="00147537">
      <w:pPr>
        <w:pStyle w:val="ListParagraph"/>
        <w:numPr>
          <w:ilvl w:val="0"/>
          <w:numId w:val="9"/>
        </w:numPr>
      </w:pPr>
      <w:r>
        <w:t>Provid</w:t>
      </w:r>
      <w:r w:rsidR="00DF698C">
        <w:t>ing</w:t>
      </w:r>
      <w:r>
        <w:t xml:space="preserve"> clean places for mothers to breastfeed, and </w:t>
      </w:r>
    </w:p>
    <w:p w14:paraId="039BB788" w14:textId="3075D763" w:rsidR="00147537" w:rsidRDefault="00DF698C" w:rsidP="00147537">
      <w:pPr>
        <w:pStyle w:val="ListParagraph"/>
        <w:numPr>
          <w:ilvl w:val="0"/>
          <w:numId w:val="9"/>
        </w:numPr>
      </w:pPr>
      <w:r>
        <w:t>E</w:t>
      </w:r>
      <w:r w:rsidR="00147537">
        <w:t>stablishing paid maternity leave for employed mothers.</w:t>
      </w:r>
    </w:p>
    <w:p w14:paraId="07A7FA26" w14:textId="77777777" w:rsidR="00723121" w:rsidRDefault="00723121" w:rsidP="00723121"/>
    <w:p w14:paraId="6538A552" w14:textId="5DDFEB45" w:rsidR="00723121" w:rsidRDefault="00723121" w:rsidP="00723121">
      <w:r>
        <w:t xml:space="preserve">Healthy People 2020 set breastfeeding goals because it is so important to the overall health of babies and mothers. </w:t>
      </w:r>
      <w:r w:rsidR="00720588">
        <w:t>New Mexico is similar to US prevalence and slightly better in exclusive breastfeeding.</w:t>
      </w:r>
    </w:p>
    <w:tbl>
      <w:tblPr>
        <w:tblStyle w:val="TableGrid"/>
        <w:tblW w:w="90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8"/>
        <w:gridCol w:w="1946"/>
        <w:gridCol w:w="1710"/>
        <w:gridCol w:w="1908"/>
      </w:tblGrid>
      <w:tr w:rsidR="008D1EB6" w:rsidRPr="008D1EB6" w14:paraId="0A9040BC" w14:textId="77777777" w:rsidTr="001A3551">
        <w:tc>
          <w:tcPr>
            <w:tcW w:w="3528" w:type="dxa"/>
            <w:shd w:val="clear" w:color="auto" w:fill="E6E6E6"/>
            <w:vAlign w:val="center"/>
          </w:tcPr>
          <w:p w14:paraId="24C8F198" w14:textId="5E068347" w:rsidR="00723121" w:rsidRPr="008D1EB6" w:rsidRDefault="00723121" w:rsidP="001A3551">
            <w:pPr>
              <w:rPr>
                <w:b/>
              </w:rPr>
            </w:pPr>
            <w:r w:rsidRPr="008D1EB6">
              <w:rPr>
                <w:b/>
              </w:rPr>
              <w:t>Breastfe</w:t>
            </w:r>
            <w:r w:rsidR="008D1EB6" w:rsidRPr="008D1EB6">
              <w:rPr>
                <w:b/>
              </w:rPr>
              <w:t>d</w:t>
            </w:r>
          </w:p>
        </w:tc>
        <w:tc>
          <w:tcPr>
            <w:tcW w:w="1946" w:type="dxa"/>
            <w:shd w:val="clear" w:color="auto" w:fill="E6E6E6"/>
          </w:tcPr>
          <w:p w14:paraId="4BE91ED9" w14:textId="522FD7D1" w:rsidR="00723121" w:rsidRPr="008D1EB6" w:rsidRDefault="00723121" w:rsidP="008D1EB6">
            <w:pPr>
              <w:jc w:val="center"/>
              <w:rPr>
                <w:b/>
              </w:rPr>
            </w:pPr>
            <w:r w:rsidRPr="008D1EB6">
              <w:rPr>
                <w:b/>
              </w:rPr>
              <w:t>New Mexico</w:t>
            </w:r>
          </w:p>
        </w:tc>
        <w:tc>
          <w:tcPr>
            <w:tcW w:w="1710" w:type="dxa"/>
            <w:shd w:val="clear" w:color="auto" w:fill="E6E6E6"/>
          </w:tcPr>
          <w:p w14:paraId="49514160" w14:textId="3AE72DE2" w:rsidR="00723121" w:rsidRPr="008D1EB6" w:rsidRDefault="00723121" w:rsidP="008D1EB6">
            <w:pPr>
              <w:jc w:val="center"/>
              <w:rPr>
                <w:b/>
              </w:rPr>
            </w:pPr>
            <w:r w:rsidRPr="008D1EB6">
              <w:rPr>
                <w:b/>
              </w:rPr>
              <w:t>U.S.</w:t>
            </w:r>
          </w:p>
        </w:tc>
        <w:tc>
          <w:tcPr>
            <w:tcW w:w="1908" w:type="dxa"/>
            <w:shd w:val="clear" w:color="auto" w:fill="E6E6E6"/>
          </w:tcPr>
          <w:p w14:paraId="4D45D1D9" w14:textId="4FD3C457" w:rsidR="00723121" w:rsidRPr="008D1EB6" w:rsidRDefault="00723121" w:rsidP="008D1EB6">
            <w:pPr>
              <w:jc w:val="center"/>
              <w:rPr>
                <w:b/>
              </w:rPr>
            </w:pPr>
            <w:r w:rsidRPr="008D1EB6">
              <w:rPr>
                <w:b/>
              </w:rPr>
              <w:t>Healthy People Target</w:t>
            </w:r>
          </w:p>
        </w:tc>
      </w:tr>
      <w:tr w:rsidR="008D1EB6" w14:paraId="6D1A2AE5" w14:textId="77777777" w:rsidTr="001A3551">
        <w:tc>
          <w:tcPr>
            <w:tcW w:w="3528" w:type="dxa"/>
          </w:tcPr>
          <w:p w14:paraId="5B102A09" w14:textId="0A2019D9" w:rsidR="00723121" w:rsidRDefault="00723121" w:rsidP="00723121">
            <w:r>
              <w:t>Ever</w:t>
            </w:r>
          </w:p>
        </w:tc>
        <w:tc>
          <w:tcPr>
            <w:tcW w:w="1946" w:type="dxa"/>
          </w:tcPr>
          <w:p w14:paraId="16298EE3" w14:textId="248ED957" w:rsidR="00723121" w:rsidRDefault="00723121" w:rsidP="008D1EB6">
            <w:pPr>
              <w:jc w:val="center"/>
            </w:pPr>
            <w:r>
              <w:t>85.5</w:t>
            </w:r>
            <w:r w:rsidR="008D1EB6">
              <w:t>%</w:t>
            </w:r>
          </w:p>
        </w:tc>
        <w:tc>
          <w:tcPr>
            <w:tcW w:w="1710" w:type="dxa"/>
          </w:tcPr>
          <w:p w14:paraId="535B585B" w14:textId="2F9C352A" w:rsidR="00723121" w:rsidRPr="00E852A1" w:rsidRDefault="00E852A1" w:rsidP="008D1EB6">
            <w:pPr>
              <w:jc w:val="center"/>
            </w:pPr>
            <w:r>
              <w:t>81.1%</w:t>
            </w:r>
          </w:p>
        </w:tc>
        <w:tc>
          <w:tcPr>
            <w:tcW w:w="1908" w:type="dxa"/>
          </w:tcPr>
          <w:p w14:paraId="7259763E" w14:textId="03A2A032" w:rsidR="00723121" w:rsidRDefault="008D1EB6" w:rsidP="008D1EB6">
            <w:pPr>
              <w:jc w:val="center"/>
            </w:pPr>
            <w:r>
              <w:t>81.9%</w:t>
            </w:r>
          </w:p>
        </w:tc>
      </w:tr>
      <w:tr w:rsidR="008D1EB6" w14:paraId="292DA709" w14:textId="77777777" w:rsidTr="001A3551">
        <w:tc>
          <w:tcPr>
            <w:tcW w:w="3528" w:type="dxa"/>
          </w:tcPr>
          <w:p w14:paraId="3C8DBE8D" w14:textId="576DCD66" w:rsidR="00723121" w:rsidRDefault="00723121" w:rsidP="00723121">
            <w:r>
              <w:t>At 6 Months</w:t>
            </w:r>
          </w:p>
        </w:tc>
        <w:tc>
          <w:tcPr>
            <w:tcW w:w="1946" w:type="dxa"/>
          </w:tcPr>
          <w:p w14:paraId="24D3F779" w14:textId="3AD3D98E" w:rsidR="00723121" w:rsidRDefault="00723121" w:rsidP="008D1EB6">
            <w:pPr>
              <w:jc w:val="center"/>
            </w:pPr>
            <w:r>
              <w:t>51.1%</w:t>
            </w:r>
          </w:p>
        </w:tc>
        <w:tc>
          <w:tcPr>
            <w:tcW w:w="1710" w:type="dxa"/>
          </w:tcPr>
          <w:p w14:paraId="72C9A509" w14:textId="4A68B978" w:rsidR="00723121" w:rsidRPr="00B00815" w:rsidRDefault="00B00815" w:rsidP="008D1EB6">
            <w:pPr>
              <w:jc w:val="center"/>
            </w:pPr>
            <w:r w:rsidRPr="00B00815">
              <w:t>51.8%</w:t>
            </w:r>
          </w:p>
        </w:tc>
        <w:tc>
          <w:tcPr>
            <w:tcW w:w="1908" w:type="dxa"/>
          </w:tcPr>
          <w:p w14:paraId="3CCD406F" w14:textId="10E85FA8" w:rsidR="00723121" w:rsidRDefault="008D1EB6" w:rsidP="008D1EB6">
            <w:pPr>
              <w:jc w:val="center"/>
            </w:pPr>
            <w:r>
              <w:t>60.6%</w:t>
            </w:r>
          </w:p>
        </w:tc>
      </w:tr>
      <w:tr w:rsidR="008D1EB6" w14:paraId="16F0FDFC" w14:textId="77777777" w:rsidTr="001A3551">
        <w:tc>
          <w:tcPr>
            <w:tcW w:w="3528" w:type="dxa"/>
          </w:tcPr>
          <w:p w14:paraId="7F22DCC9" w14:textId="364C7A40" w:rsidR="00723121" w:rsidRDefault="00723121" w:rsidP="00723121">
            <w:r>
              <w:t>At 1 Year</w:t>
            </w:r>
          </w:p>
        </w:tc>
        <w:tc>
          <w:tcPr>
            <w:tcW w:w="1946" w:type="dxa"/>
          </w:tcPr>
          <w:p w14:paraId="777D1688" w14:textId="6C4DF393" w:rsidR="00723121" w:rsidRDefault="00723121" w:rsidP="008D1EB6">
            <w:pPr>
              <w:jc w:val="center"/>
            </w:pPr>
            <w:r>
              <w:t>29.5%</w:t>
            </w:r>
          </w:p>
        </w:tc>
        <w:tc>
          <w:tcPr>
            <w:tcW w:w="1710" w:type="dxa"/>
          </w:tcPr>
          <w:p w14:paraId="14D66801" w14:textId="442549D5" w:rsidR="00723121" w:rsidRDefault="00723121" w:rsidP="008D1EB6">
            <w:pPr>
              <w:jc w:val="center"/>
            </w:pPr>
            <w:r>
              <w:t>30.7%</w:t>
            </w:r>
          </w:p>
        </w:tc>
        <w:tc>
          <w:tcPr>
            <w:tcW w:w="1908" w:type="dxa"/>
          </w:tcPr>
          <w:p w14:paraId="0060A6F0" w14:textId="3DAA5A11" w:rsidR="00723121" w:rsidRDefault="008D1EB6" w:rsidP="008D1EB6">
            <w:pPr>
              <w:jc w:val="center"/>
            </w:pPr>
            <w:r>
              <w:t>34.1%</w:t>
            </w:r>
          </w:p>
        </w:tc>
      </w:tr>
      <w:tr w:rsidR="008D1EB6" w14:paraId="7E09611C" w14:textId="77777777" w:rsidTr="001A3551">
        <w:tc>
          <w:tcPr>
            <w:tcW w:w="3528" w:type="dxa"/>
          </w:tcPr>
          <w:p w14:paraId="564520DE" w14:textId="48DF70CC" w:rsidR="00723121" w:rsidRDefault="00723121" w:rsidP="00723121">
            <w:r>
              <w:t>Exclusively through 3 months</w:t>
            </w:r>
          </w:p>
        </w:tc>
        <w:tc>
          <w:tcPr>
            <w:tcW w:w="1946" w:type="dxa"/>
          </w:tcPr>
          <w:p w14:paraId="350AD20B" w14:textId="16BB4C07" w:rsidR="00723121" w:rsidRDefault="00723121" w:rsidP="008D1EB6">
            <w:pPr>
              <w:jc w:val="center"/>
            </w:pPr>
            <w:r>
              <w:t>52.0%</w:t>
            </w:r>
          </w:p>
        </w:tc>
        <w:tc>
          <w:tcPr>
            <w:tcW w:w="1710" w:type="dxa"/>
          </w:tcPr>
          <w:p w14:paraId="7B28D153" w14:textId="18F59C8B" w:rsidR="00723121" w:rsidRDefault="00723121" w:rsidP="008D1EB6">
            <w:pPr>
              <w:jc w:val="center"/>
            </w:pPr>
            <w:r>
              <w:t>44.4%</w:t>
            </w:r>
          </w:p>
        </w:tc>
        <w:tc>
          <w:tcPr>
            <w:tcW w:w="1908" w:type="dxa"/>
          </w:tcPr>
          <w:p w14:paraId="67F35B7B" w14:textId="4B4E1431" w:rsidR="00723121" w:rsidRDefault="008D1EB6" w:rsidP="008D1EB6">
            <w:pPr>
              <w:jc w:val="center"/>
            </w:pPr>
            <w:r>
              <w:t>46.2%</w:t>
            </w:r>
          </w:p>
        </w:tc>
      </w:tr>
      <w:tr w:rsidR="008D1EB6" w14:paraId="7882AF2D" w14:textId="77777777" w:rsidTr="00385392">
        <w:tc>
          <w:tcPr>
            <w:tcW w:w="3528" w:type="dxa"/>
            <w:tcBorders>
              <w:bottom w:val="single" w:sz="4" w:space="0" w:color="808080" w:themeColor="background1" w:themeShade="80"/>
            </w:tcBorders>
          </w:tcPr>
          <w:p w14:paraId="6A1936D6" w14:textId="48874D47" w:rsidR="00723121" w:rsidRDefault="00723121" w:rsidP="00723121">
            <w:r>
              <w:t>Exclusively through 6 months</w:t>
            </w:r>
          </w:p>
        </w:tc>
        <w:tc>
          <w:tcPr>
            <w:tcW w:w="1946" w:type="dxa"/>
            <w:tcBorders>
              <w:bottom w:val="single" w:sz="4" w:space="0" w:color="808080" w:themeColor="background1" w:themeShade="80"/>
            </w:tcBorders>
          </w:tcPr>
          <w:p w14:paraId="6459B15E" w14:textId="0BD8C99D" w:rsidR="00723121" w:rsidRDefault="00723121" w:rsidP="008D1EB6">
            <w:pPr>
              <w:jc w:val="center"/>
            </w:pPr>
            <w:r>
              <w:t>26.6%</w:t>
            </w:r>
          </w:p>
        </w:tc>
        <w:tc>
          <w:tcPr>
            <w:tcW w:w="1710" w:type="dxa"/>
            <w:tcBorders>
              <w:bottom w:val="single" w:sz="4" w:space="0" w:color="808080" w:themeColor="background1" w:themeShade="80"/>
            </w:tcBorders>
          </w:tcPr>
          <w:p w14:paraId="5FF64621" w14:textId="2183461B" w:rsidR="00723121" w:rsidRDefault="00723121" w:rsidP="008D1EB6">
            <w:pPr>
              <w:jc w:val="center"/>
            </w:pPr>
            <w:r>
              <w:t>22.3%</w:t>
            </w:r>
          </w:p>
        </w:tc>
        <w:tc>
          <w:tcPr>
            <w:tcW w:w="1908" w:type="dxa"/>
            <w:tcBorders>
              <w:bottom w:val="single" w:sz="4" w:space="0" w:color="808080" w:themeColor="background1" w:themeShade="80"/>
            </w:tcBorders>
          </w:tcPr>
          <w:p w14:paraId="05ED37CF" w14:textId="0D6989B9" w:rsidR="00723121" w:rsidRDefault="008D1EB6" w:rsidP="008D1EB6">
            <w:pPr>
              <w:jc w:val="center"/>
            </w:pPr>
            <w:r>
              <w:t>25.5%</w:t>
            </w:r>
          </w:p>
        </w:tc>
      </w:tr>
      <w:tr w:rsidR="00723121" w14:paraId="784F4464" w14:textId="77777777" w:rsidTr="00385392">
        <w:tc>
          <w:tcPr>
            <w:tcW w:w="9092" w:type="dxa"/>
            <w:gridSpan w:val="4"/>
            <w:tcBorders>
              <w:left w:val="nil"/>
              <w:bottom w:val="nil"/>
              <w:right w:val="nil"/>
            </w:tcBorders>
          </w:tcPr>
          <w:p w14:paraId="379F60BF" w14:textId="23EF3DD9" w:rsidR="00723121" w:rsidRPr="00723121" w:rsidRDefault="00723121" w:rsidP="008D1EB6">
            <w:pPr>
              <w:rPr>
                <w:color w:val="7F7F7F" w:themeColor="text1" w:themeTint="80"/>
                <w:sz w:val="20"/>
                <w:szCs w:val="20"/>
              </w:rPr>
            </w:pPr>
            <w:r w:rsidRPr="00723121">
              <w:rPr>
                <w:color w:val="7F7F7F" w:themeColor="text1" w:themeTint="80"/>
                <w:sz w:val="20"/>
                <w:szCs w:val="20"/>
              </w:rPr>
              <w:t>CDC National Immunization Survey, 2013 Births</w:t>
            </w:r>
          </w:p>
        </w:tc>
      </w:tr>
    </w:tbl>
    <w:p w14:paraId="1655A40F" w14:textId="77777777" w:rsidR="00723121" w:rsidRDefault="00723121" w:rsidP="00723121"/>
    <w:p w14:paraId="33D4BFCA" w14:textId="047C01DE" w:rsidR="00BD31E5" w:rsidRDefault="00BD31E5" w:rsidP="00DF698C">
      <w:pPr>
        <w:pStyle w:val="ListParagraph"/>
      </w:pPr>
      <w:r>
        <w:br w:type="page"/>
      </w:r>
    </w:p>
    <w:p w14:paraId="13160AF4" w14:textId="0A74B5C3" w:rsidR="00772D8E" w:rsidRPr="00772D8E" w:rsidRDefault="006F6FCD" w:rsidP="00055575">
      <w:r w:rsidRPr="00F67245">
        <w:rPr>
          <w:noProof/>
          <w:u w:val="single"/>
        </w:rPr>
        <mc:AlternateContent>
          <mc:Choice Requires="wps">
            <w:drawing>
              <wp:anchor distT="0" distB="0" distL="114300" distR="114300" simplePos="0" relativeHeight="251669504" behindDoc="0" locked="0" layoutInCell="1" allowOverlap="1" wp14:anchorId="3A6DA526" wp14:editId="67FDC014">
                <wp:simplePos x="0" y="0"/>
                <wp:positionH relativeFrom="column">
                  <wp:posOffset>-342900</wp:posOffset>
                </wp:positionH>
                <wp:positionV relativeFrom="paragraph">
                  <wp:posOffset>50165</wp:posOffset>
                </wp:positionV>
                <wp:extent cx="65151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6.95pt,3.95pt" to="486.0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" strokecolor="#4f81bd [3204]" strokeweight="2pt">
                <v:shadow on="t" opacity="24903f" mv:blur="40000f" origin=",.5" offset="0,20000emu"/>
              </v:line>
            </w:pict>
          </mc:Fallback>
        </mc:AlternateContent>
      </w:r>
    </w:p>
    <w:p w14:paraId="0E1F685E" w14:textId="63749FB1" w:rsidR="00055575" w:rsidRPr="006F6FCD" w:rsidRDefault="00D016B4" w:rsidP="00055575">
      <w:pPr>
        <w:rPr>
          <w:b/>
        </w:rPr>
      </w:pPr>
      <w:r w:rsidRPr="00842D50">
        <w:rPr>
          <w:b/>
        </w:rPr>
        <w:t>What are the benefits</w:t>
      </w:r>
      <w:r>
        <w:rPr>
          <w:b/>
        </w:rPr>
        <w:t xml:space="preserve"> of offering </w:t>
      </w:r>
      <w:r w:rsidR="006F6FCD" w:rsidRPr="006F6FCD">
        <w:rPr>
          <w:b/>
        </w:rPr>
        <w:t xml:space="preserve">Wellness </w:t>
      </w:r>
      <w:r w:rsidR="00AC6F1A">
        <w:rPr>
          <w:b/>
        </w:rPr>
        <w:t xml:space="preserve">Programs / </w:t>
      </w:r>
      <w:r w:rsidR="006F6FCD" w:rsidRPr="006F6FCD">
        <w:rPr>
          <w:b/>
        </w:rPr>
        <w:t>Policies</w:t>
      </w:r>
      <w:r>
        <w:rPr>
          <w:b/>
        </w:rPr>
        <w:t>?</w:t>
      </w:r>
    </w:p>
    <w:p w14:paraId="00FD671D" w14:textId="2C3DF126" w:rsidR="00A34D6B" w:rsidRDefault="006F6FCD" w:rsidP="00A34D6B">
      <w:r>
        <w:t>Wellness p</w:t>
      </w:r>
      <w:r w:rsidR="00B77B20">
        <w:t>rogram can benefit employers by, l</w:t>
      </w:r>
      <w:r>
        <w:t>owering health care costs</w:t>
      </w:r>
      <w:r w:rsidR="00B77B20">
        <w:t>, r</w:t>
      </w:r>
      <w:r>
        <w:t>educing absenteeism</w:t>
      </w:r>
      <w:r w:rsidR="00B77B20">
        <w:t>, a</w:t>
      </w:r>
      <w:r>
        <w:t>chieving higher employee productivity</w:t>
      </w:r>
      <w:r w:rsidR="00B77B20">
        <w:t>, r</w:t>
      </w:r>
      <w:r>
        <w:t>educing workers’ compensation and disability-related costs</w:t>
      </w:r>
      <w:r w:rsidR="00B77B20">
        <w:t>, r</w:t>
      </w:r>
      <w:r>
        <w:t>educing injuries</w:t>
      </w:r>
      <w:r w:rsidR="00B77B20">
        <w:t>, and i</w:t>
      </w:r>
      <w:r>
        <w:t>mprov</w:t>
      </w:r>
      <w:r w:rsidR="00B77B20">
        <w:t xml:space="preserve">ing employee morale and loyalty. </w:t>
      </w:r>
      <w:r w:rsidR="00A34D6B">
        <w:t>Most people see connections between health, happiness and productivity at work. Companies can help foster all three through a corporate wellness program. The CDC’s Workplace Health Research Network outlines components of a comprehensive wellness program:</w:t>
      </w:r>
    </w:p>
    <w:p w14:paraId="368D7E3F" w14:textId="5EC0E240" w:rsidR="00A34D6B" w:rsidRDefault="00A34D6B" w:rsidP="00A34D6B">
      <w:pPr>
        <w:pStyle w:val="ListParagraph"/>
        <w:numPr>
          <w:ilvl w:val="0"/>
          <w:numId w:val="12"/>
        </w:numPr>
      </w:pPr>
      <w:r>
        <w:t>Programs are practical and accessible</w:t>
      </w:r>
    </w:p>
    <w:p w14:paraId="6C728E51" w14:textId="38466436" w:rsidR="00A34D6B" w:rsidRDefault="00A34D6B" w:rsidP="00A34D6B">
      <w:pPr>
        <w:pStyle w:val="ListParagraph"/>
        <w:numPr>
          <w:ilvl w:val="0"/>
          <w:numId w:val="12"/>
        </w:numPr>
      </w:pPr>
      <w:r>
        <w:t>The work environment is health-conscious</w:t>
      </w:r>
    </w:p>
    <w:p w14:paraId="0AF37118" w14:textId="1BB03EA9" w:rsidR="00A34D6B" w:rsidRDefault="00A34D6B" w:rsidP="00A34D6B">
      <w:pPr>
        <w:pStyle w:val="ListParagraph"/>
        <w:numPr>
          <w:ilvl w:val="0"/>
          <w:numId w:val="12"/>
        </w:numPr>
      </w:pPr>
      <w:r>
        <w:t>Wellness is integrated into the company’s structure</w:t>
      </w:r>
    </w:p>
    <w:p w14:paraId="5360915D" w14:textId="62859C67" w:rsidR="00A34D6B" w:rsidRDefault="00A34D6B" w:rsidP="00A34D6B">
      <w:pPr>
        <w:pStyle w:val="ListParagraph"/>
        <w:numPr>
          <w:ilvl w:val="0"/>
          <w:numId w:val="12"/>
        </w:numPr>
      </w:pPr>
      <w:r>
        <w:t>Wellness is linked to existing support programs</w:t>
      </w:r>
    </w:p>
    <w:p w14:paraId="3AB590ED" w14:textId="0BE783E6" w:rsidR="00A34D6B" w:rsidRDefault="00A34D6B" w:rsidP="00A34D6B">
      <w:pPr>
        <w:pStyle w:val="ListParagraph"/>
        <w:numPr>
          <w:ilvl w:val="0"/>
          <w:numId w:val="12"/>
        </w:numPr>
      </w:pPr>
      <w:r>
        <w:t>Health screenings and education are offered</w:t>
      </w:r>
    </w:p>
    <w:p w14:paraId="3ACE001F" w14:textId="6F0C6A21" w:rsidR="00A34D6B" w:rsidRPr="00A34D6B" w:rsidRDefault="00A34D6B" w:rsidP="00A34D6B">
      <w:pPr>
        <w:rPr>
          <w:sz w:val="20"/>
          <w:szCs w:val="20"/>
        </w:rPr>
      </w:pPr>
      <w:r w:rsidRPr="00A34D6B">
        <w:rPr>
          <w:sz w:val="20"/>
          <w:szCs w:val="20"/>
        </w:rPr>
        <w:t xml:space="preserve">SOURCE: </w:t>
      </w:r>
      <w:hyperlink r:id="rId9" w:history="1">
        <w:r w:rsidRPr="00A34D6B">
          <w:rPr>
            <w:rStyle w:val="Hyperlink"/>
            <w:sz w:val="20"/>
            <w:szCs w:val="20"/>
          </w:rPr>
          <w:t>http://fortune.com/2015/04/13/corporate-wellness/</w:t>
        </w:r>
      </w:hyperlink>
      <w:r w:rsidRPr="00A34D6B">
        <w:rPr>
          <w:sz w:val="20"/>
          <w:szCs w:val="20"/>
        </w:rPr>
        <w:t xml:space="preserve"> </w:t>
      </w:r>
    </w:p>
    <w:p w14:paraId="4AB4DE0E" w14:textId="77777777" w:rsidR="00D016B4" w:rsidRDefault="00D016B4" w:rsidP="00D016B4"/>
    <w:p w14:paraId="71181B6F" w14:textId="0240691E" w:rsidR="00D016B4" w:rsidRDefault="00D016B4" w:rsidP="00D016B4">
      <w:r>
        <w:t>The Society for Human Resource Management suggests companies conduct specific research and planning before implementing wellness programs</w:t>
      </w:r>
      <w:r w:rsidR="00B77B20">
        <w:t>. Some basic steps companies can follow to put a wellness program in place are as follows</w:t>
      </w:r>
      <w:r>
        <w:t>:</w:t>
      </w:r>
    </w:p>
    <w:p w14:paraId="44E158A6" w14:textId="77777777" w:rsidR="00D016B4" w:rsidRDefault="00D016B4" w:rsidP="00D016B4">
      <w:pPr>
        <w:pStyle w:val="ListParagraph"/>
        <w:numPr>
          <w:ilvl w:val="0"/>
          <w:numId w:val="10"/>
        </w:numPr>
      </w:pPr>
      <w:r>
        <w:t>Establish the goal of the wellness program.</w:t>
      </w:r>
    </w:p>
    <w:p w14:paraId="1412C4BB" w14:textId="77777777" w:rsidR="00D016B4" w:rsidRDefault="00D016B4" w:rsidP="00D016B4">
      <w:pPr>
        <w:pStyle w:val="ListParagraph"/>
        <w:numPr>
          <w:ilvl w:val="0"/>
          <w:numId w:val="10"/>
        </w:numPr>
      </w:pPr>
      <w:r>
        <w:t>Decide the company’s level of involvement in the program.</w:t>
      </w:r>
    </w:p>
    <w:p w14:paraId="2F11E70B" w14:textId="77777777" w:rsidR="00D016B4" w:rsidRDefault="00D016B4" w:rsidP="00D016B4">
      <w:pPr>
        <w:pStyle w:val="ListParagraph"/>
        <w:numPr>
          <w:ilvl w:val="0"/>
          <w:numId w:val="10"/>
        </w:numPr>
      </w:pPr>
      <w:r>
        <w:t>Establish the budget and expected return on investment.</w:t>
      </w:r>
    </w:p>
    <w:p w14:paraId="5CD951CF" w14:textId="77777777" w:rsidR="00D016B4" w:rsidRDefault="00D016B4" w:rsidP="00D016B4">
      <w:pPr>
        <w:pStyle w:val="ListParagraph"/>
        <w:numPr>
          <w:ilvl w:val="0"/>
          <w:numId w:val="10"/>
        </w:numPr>
      </w:pPr>
      <w:r>
        <w:t>Choose employee rewards.</w:t>
      </w:r>
    </w:p>
    <w:p w14:paraId="1824509D" w14:textId="77777777" w:rsidR="00D016B4" w:rsidRDefault="00D016B4" w:rsidP="00D016B4">
      <w:pPr>
        <w:pStyle w:val="ListParagraph"/>
        <w:numPr>
          <w:ilvl w:val="0"/>
          <w:numId w:val="10"/>
        </w:numPr>
      </w:pPr>
      <w:r>
        <w:t xml:space="preserve">Write and communicate the policy/program to employees. </w:t>
      </w:r>
    </w:p>
    <w:p w14:paraId="4435456A" w14:textId="77777777" w:rsidR="00D016B4" w:rsidRPr="006F6FCD" w:rsidRDefault="00D016B4" w:rsidP="00D016B4">
      <w:pPr>
        <w:rPr>
          <w:sz w:val="20"/>
          <w:szCs w:val="20"/>
        </w:rPr>
      </w:pPr>
      <w:r w:rsidRPr="006F6FCD">
        <w:rPr>
          <w:sz w:val="20"/>
          <w:szCs w:val="20"/>
        </w:rPr>
        <w:t xml:space="preserve">SOURCE: </w:t>
      </w:r>
      <w:hyperlink r:id="rId10" w:history="1">
        <w:r w:rsidRPr="006F6FCD">
          <w:rPr>
            <w:rStyle w:val="Hyperlink"/>
            <w:sz w:val="20"/>
            <w:szCs w:val="20"/>
          </w:rPr>
          <w:t>https://www.shrm.org/resourcesandtools/tools-and-samples/hr-qa/pages/wellnessprogramscontributingtotheemployer%E2%80%99sbottomline.aspx</w:t>
        </w:r>
      </w:hyperlink>
    </w:p>
    <w:p w14:paraId="1819D6BB" w14:textId="77777777" w:rsidR="00A34D6B" w:rsidRDefault="00A34D6B" w:rsidP="00A34D6B"/>
    <w:p w14:paraId="1A99D97E" w14:textId="77777777" w:rsidR="006F6FCD" w:rsidRDefault="006F6FCD" w:rsidP="00055575"/>
    <w:p w14:paraId="0D5E5E65" w14:textId="7857F379" w:rsidR="00055575" w:rsidRDefault="006F6FCD" w:rsidP="00055575">
      <w:r w:rsidRPr="00F67245">
        <w:rPr>
          <w:noProof/>
          <w:u w:val="single"/>
        </w:rPr>
        <mc:AlternateContent>
          <mc:Choice Requires="wps">
            <w:drawing>
              <wp:anchor distT="0" distB="0" distL="114300" distR="114300" simplePos="0" relativeHeight="251671552" behindDoc="0" locked="0" layoutInCell="1" allowOverlap="1" wp14:anchorId="61245E4B" wp14:editId="4529B7C8">
                <wp:simplePos x="0" y="0"/>
                <wp:positionH relativeFrom="column">
                  <wp:posOffset>-342900</wp:posOffset>
                </wp:positionH>
                <wp:positionV relativeFrom="paragraph">
                  <wp:posOffset>0</wp:posOffset>
                </wp:positionV>
                <wp:extent cx="6515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95pt,0" to="486.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" strokecolor="#4f81bd [3204]" strokeweight="2pt">
                <v:shadow on="t" opacity="24903f" mv:blur="40000f" origin=",.5" offset="0,20000emu"/>
              </v:line>
            </w:pict>
          </mc:Fallback>
        </mc:AlternateContent>
      </w:r>
    </w:p>
    <w:p w14:paraId="65F39F09" w14:textId="3A65DFB5" w:rsidR="00055575" w:rsidRPr="00842D50" w:rsidRDefault="00055575" w:rsidP="00055575">
      <w:pPr>
        <w:rPr>
          <w:b/>
        </w:rPr>
      </w:pPr>
      <w:r w:rsidRPr="00842D50">
        <w:rPr>
          <w:b/>
        </w:rPr>
        <w:t xml:space="preserve">What are the </w:t>
      </w:r>
      <w:r w:rsidRPr="003455A4">
        <w:rPr>
          <w:b/>
          <w:u w:val="single"/>
        </w:rPr>
        <w:t>costs</w:t>
      </w:r>
      <w:r w:rsidR="00B77B20">
        <w:rPr>
          <w:b/>
        </w:rPr>
        <w:t xml:space="preserve"> of </w:t>
      </w:r>
      <w:r w:rsidR="003455A4">
        <w:rPr>
          <w:b/>
        </w:rPr>
        <w:t xml:space="preserve">offering </w:t>
      </w:r>
      <w:r w:rsidR="00B77B20">
        <w:rPr>
          <w:b/>
        </w:rPr>
        <w:t>health support policies or programs</w:t>
      </w:r>
      <w:r w:rsidRPr="00842D50">
        <w:rPr>
          <w:b/>
        </w:rPr>
        <w:t>?</w:t>
      </w:r>
    </w:p>
    <w:p w14:paraId="4E2901A6" w14:textId="77777777" w:rsidR="00055575" w:rsidRDefault="00055575" w:rsidP="00055575"/>
    <w:p w14:paraId="1D4C575D" w14:textId="30DBE296" w:rsidR="00DE0193" w:rsidRDefault="00DE0193" w:rsidP="00D207CB">
      <w:pPr>
        <w:pStyle w:val="ListParagraph"/>
        <w:numPr>
          <w:ilvl w:val="0"/>
          <w:numId w:val="3"/>
        </w:numPr>
      </w:pPr>
      <w:r>
        <w:t>Providing benefits costs more for small employers than for large ones, both in terms of higher prices because of lesser buying power, and due to relatively higher costs of administration.</w:t>
      </w:r>
    </w:p>
    <w:p w14:paraId="053BEC2F" w14:textId="64F75C36" w:rsidR="00DE0193" w:rsidRDefault="00DE0193" w:rsidP="00D207CB">
      <w:pPr>
        <w:pStyle w:val="ListParagraph"/>
        <w:numPr>
          <w:ilvl w:val="0"/>
          <w:numId w:val="3"/>
        </w:numPr>
      </w:pPr>
      <w:r>
        <w:t xml:space="preserve">The more benefits a business offers, the more it must pay for administrative overhead. </w:t>
      </w:r>
    </w:p>
    <w:p w14:paraId="00996A6C" w14:textId="7C788411" w:rsidR="00DE0193" w:rsidRDefault="00DE0193" w:rsidP="00D207CB">
      <w:pPr>
        <w:pStyle w:val="ListParagraph"/>
        <w:numPr>
          <w:ilvl w:val="0"/>
          <w:numId w:val="3"/>
        </w:numPr>
      </w:pPr>
      <w:r>
        <w:t>The cost of health insurance has steadily risen, making it less and less affordable to employers, and making financial planning difficult from year to year (although the small business provision</w:t>
      </w:r>
      <w:r w:rsidR="00D207CB">
        <w:t>s of the ACA have altered this balance by incentivizing employer-funded benefits).</w:t>
      </w:r>
    </w:p>
    <w:p w14:paraId="2DC1BCE6" w14:textId="42D8B47F" w:rsidR="00D207CB" w:rsidRDefault="00D207CB" w:rsidP="00D207CB">
      <w:pPr>
        <w:pStyle w:val="ListParagraph"/>
        <w:numPr>
          <w:ilvl w:val="0"/>
          <w:numId w:val="3"/>
        </w:numPr>
      </w:pPr>
      <w:r>
        <w:t>Offering benefits creates concerns regarding legal compliance, which in turn causes a company to incur legal fees.</w:t>
      </w:r>
    </w:p>
    <w:p w14:paraId="366F6914" w14:textId="354340E0" w:rsidR="00D207CB" w:rsidRDefault="00D207CB" w:rsidP="00D207CB">
      <w:pPr>
        <w:pStyle w:val="ListParagraph"/>
        <w:numPr>
          <w:ilvl w:val="0"/>
          <w:numId w:val="3"/>
        </w:numPr>
      </w:pPr>
      <w:r>
        <w:t xml:space="preserve">Mistakes made in benefit plans can lead to costly lawsuits or regulatory fines. </w:t>
      </w:r>
    </w:p>
    <w:p w14:paraId="09BFB45A" w14:textId="77777777" w:rsidR="00D207CB" w:rsidRPr="00D96B82" w:rsidRDefault="00D207CB" w:rsidP="00D96B82">
      <w:pPr>
        <w:ind w:left="360"/>
        <w:rPr>
          <w:sz w:val="20"/>
          <w:szCs w:val="20"/>
        </w:rPr>
      </w:pPr>
      <w:r w:rsidRPr="00D96B82">
        <w:rPr>
          <w:sz w:val="20"/>
          <w:szCs w:val="20"/>
        </w:rPr>
        <w:t xml:space="preserve">SOURCE: </w:t>
      </w:r>
      <w:hyperlink r:id="rId11" w:history="1">
        <w:r w:rsidRPr="00D96B82">
          <w:rPr>
            <w:rStyle w:val="Hyperlink"/>
            <w:sz w:val="20"/>
            <w:szCs w:val="20"/>
          </w:rPr>
          <w:t>http://smallbusiness.findlaw.com/employment-law-and-human-resources/pro-and-cons-offering-employee-benefits.html</w:t>
        </w:r>
      </w:hyperlink>
    </w:p>
    <w:p w14:paraId="6C9A150A" w14:textId="77777777" w:rsidR="00D207CB" w:rsidRDefault="00D207CB" w:rsidP="00D207CB"/>
    <w:p w14:paraId="4EAD2F2B" w14:textId="77777777" w:rsidR="00DE0193" w:rsidRDefault="00DE0193" w:rsidP="00055575"/>
    <w:p w14:paraId="04AD87F4" w14:textId="7143E7FC" w:rsidR="00147537" w:rsidRDefault="00147537" w:rsidP="00147537">
      <w:pPr>
        <w:rPr>
          <w:b/>
        </w:rPr>
      </w:pPr>
      <w:r>
        <w:rPr>
          <w:b/>
        </w:rPr>
        <w:t>Sample Policy Language / Model Policies</w:t>
      </w:r>
      <w:r w:rsidR="003455A4">
        <w:rPr>
          <w:b/>
        </w:rPr>
        <w:t xml:space="preserve"> </w:t>
      </w:r>
      <w:r w:rsidR="003455A4" w:rsidRPr="003455A4">
        <w:rPr>
          <w:b/>
          <w:color w:val="E36C0A" w:themeColor="accent6" w:themeShade="BF"/>
        </w:rPr>
        <w:t>NOT COMPLETE</w:t>
      </w:r>
    </w:p>
    <w:p w14:paraId="10454468" w14:textId="77777777" w:rsidR="00147537" w:rsidRDefault="00147537" w:rsidP="00147537"/>
    <w:p w14:paraId="4C5DF610" w14:textId="77777777" w:rsidR="00147537" w:rsidRPr="000A4A2F" w:rsidRDefault="00147537" w:rsidP="00147537">
      <w:pPr>
        <w:pStyle w:val="ListParagraph"/>
        <w:widowControl w:val="0"/>
        <w:autoSpaceDE w:val="0"/>
        <w:autoSpaceDN w:val="0"/>
        <w:adjustRightInd w:val="0"/>
        <w:rPr>
          <w:rFonts w:cs="Times New Roman"/>
          <w:sz w:val="22"/>
          <w:szCs w:val="22"/>
        </w:rPr>
      </w:pPr>
    </w:p>
    <w:p w14:paraId="4BB5AB10" w14:textId="77777777" w:rsidR="00147537" w:rsidRPr="00395B93" w:rsidRDefault="00147537" w:rsidP="00147537">
      <w:pPr>
        <w:widowControl w:val="0"/>
        <w:autoSpaceDE w:val="0"/>
        <w:autoSpaceDN w:val="0"/>
        <w:adjustRightInd w:val="0"/>
        <w:rPr>
          <w:sz w:val="22"/>
          <w:szCs w:val="22"/>
        </w:rPr>
      </w:pPr>
      <w:r>
        <w:rPr>
          <w:noProof/>
        </w:rPr>
        <mc:AlternateContent>
          <mc:Choice Requires="wps">
            <w:drawing>
              <wp:anchor distT="0" distB="0" distL="114300" distR="114300" simplePos="0" relativeHeight="251665408" behindDoc="0" locked="0" layoutInCell="1" allowOverlap="1" wp14:anchorId="54DECC16" wp14:editId="024854DE">
                <wp:simplePos x="0" y="0"/>
                <wp:positionH relativeFrom="column">
                  <wp:posOffset>-457200</wp:posOffset>
                </wp:positionH>
                <wp:positionV relativeFrom="paragraph">
                  <wp:posOffset>88900</wp:posOffset>
                </wp:positionV>
                <wp:extent cx="6515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95pt,7pt" to="477.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" strokecolor="#4f81bd [3204]" strokeweight="2pt">
                <v:shadow on="t" opacity="24903f" mv:blur="40000f" origin=",.5" offset="0,20000emu"/>
              </v:line>
            </w:pict>
          </mc:Fallback>
        </mc:AlternateContent>
      </w:r>
    </w:p>
    <w:p w14:paraId="13706A32" w14:textId="50D65C13" w:rsidR="00147537" w:rsidRDefault="00F67245" w:rsidP="00147537">
      <w:pPr>
        <w:rPr>
          <w:b/>
        </w:rPr>
      </w:pPr>
      <w:r>
        <w:rPr>
          <w:b/>
        </w:rPr>
        <w:t>Federal Law</w:t>
      </w:r>
    </w:p>
    <w:p w14:paraId="3CDAD37B" w14:textId="77777777" w:rsidR="00F67245" w:rsidRPr="00883877" w:rsidRDefault="00F67245" w:rsidP="00F67245">
      <w:r w:rsidRPr="00883877">
        <w:rPr>
          <w:b/>
        </w:rPr>
        <w:t>Health Insurance:</w:t>
      </w:r>
      <w:r w:rsidRPr="00883877">
        <w:t xml:space="preserve"> </w:t>
      </w:r>
      <w:r w:rsidR="00147537" w:rsidRPr="00883877">
        <w:t xml:space="preserve">The Affordable Care Act requires employers with 50 or more full time employees to offer adequate health coverage or be subject to assessment if their employees receive premium tax credits to buy their own insurance.  </w:t>
      </w:r>
    </w:p>
    <w:p w14:paraId="522EABC4" w14:textId="77777777" w:rsidR="00F67245" w:rsidRPr="00883877" w:rsidRDefault="00F67245" w:rsidP="00F67245">
      <w:pPr>
        <w:rPr>
          <w:u w:val="single"/>
        </w:rPr>
      </w:pPr>
    </w:p>
    <w:p w14:paraId="122F2B33" w14:textId="7EF9545F" w:rsidR="00F67245" w:rsidRDefault="00F67245" w:rsidP="00F67245">
      <w:pPr>
        <w:rPr>
          <w:rFonts w:eastAsia="Times New Roman" w:cs="Times New Roman"/>
          <w:color w:val="000000"/>
          <w:shd w:val="clear" w:color="auto" w:fill="FFFFFF"/>
        </w:rPr>
      </w:pPr>
      <w:r w:rsidRPr="00883877">
        <w:rPr>
          <w:b/>
        </w:rPr>
        <w:t>Breastfeeding:</w:t>
      </w:r>
      <w:r w:rsidR="009D6826">
        <w:t xml:space="preserve"> </w:t>
      </w:r>
      <w:hyperlink r:id="rId12" w:history="1">
        <w:r w:rsidRPr="00883877">
          <w:rPr>
            <w:rStyle w:val="Hyperlink"/>
            <w:rFonts w:eastAsia="Times New Roman" w:cs="Times New Roman"/>
            <w:color w:val="800080"/>
            <w:u w:val="none"/>
            <w:shd w:val="clear" w:color="auto" w:fill="FFFFFF"/>
          </w:rPr>
          <w:t>Section 7 of the FLSA</w:t>
        </w:r>
      </w:hyperlink>
      <w:r w:rsidRPr="00883877">
        <w:rPr>
          <w:rStyle w:val="apple-converted-space"/>
          <w:rFonts w:eastAsia="Times New Roman" w:cs="Times New Roman"/>
          <w:color w:val="000000"/>
          <w:shd w:val="clear" w:color="auto" w:fill="FFFFFF"/>
        </w:rPr>
        <w:t> </w:t>
      </w:r>
      <w:r w:rsidRPr="00883877">
        <w:rPr>
          <w:rFonts w:eastAsia="Times New Roman" w:cs="Times New Roman"/>
          <w:color w:val="000000"/>
          <w:shd w:val="clear" w:color="auto" w:fill="FFFFFF"/>
        </w:rPr>
        <w:t>requires employers to provide reasonable break time for an employee to express breast milk for her nursing child for one year after the child's birth. Employers are also required to provide a place, other than a bathroom, that is shielded from view and free from intrusion from coworkers and the public, which may be used by an employee to express breast milk.</w:t>
      </w:r>
      <w:r w:rsidRPr="00883877">
        <w:rPr>
          <w:rStyle w:val="apple-converted-space"/>
          <w:rFonts w:eastAsia="Times New Roman" w:cs="Times New Roman"/>
          <w:color w:val="000000"/>
          <w:shd w:val="clear" w:color="auto" w:fill="FFFFFF"/>
        </w:rPr>
        <w:t> </w:t>
      </w:r>
      <w:r w:rsidRPr="00883877">
        <w:rPr>
          <w:rStyle w:val="Strong"/>
          <w:rFonts w:eastAsia="Times New Roman" w:cs="Times New Roman"/>
          <w:color w:val="000000"/>
          <w:shd w:val="clear" w:color="auto" w:fill="FFFFFF"/>
        </w:rPr>
        <w:t xml:space="preserve">The break time requirement became effective when the Affordable Care Act was signed into law on March 23, 2010. </w:t>
      </w:r>
      <w:r w:rsidRPr="00883877">
        <w:rPr>
          <w:rFonts w:eastAsia="Times New Roman" w:cs="Times New Roman"/>
          <w:color w:val="000000"/>
          <w:shd w:val="clear" w:color="auto" w:fill="FFFFFF"/>
        </w:rPr>
        <w:t>The Wage and Hour Fact Sheet #73 “Break Time for Nursing Mothers under the FLSA</w:t>
      </w:r>
      <w:r w:rsidR="00883877">
        <w:rPr>
          <w:rFonts w:eastAsia="Times New Roman" w:cs="Times New Roman"/>
          <w:color w:val="000000"/>
          <w:shd w:val="clear" w:color="auto" w:fill="FFFFFF"/>
        </w:rPr>
        <w:t xml:space="preserve">. </w:t>
      </w:r>
      <w:r w:rsidRPr="00883877">
        <w:rPr>
          <w:rFonts w:eastAsia="Times New Roman" w:cs="Times New Roman"/>
          <w:color w:val="000000"/>
          <w:shd w:val="clear" w:color="auto" w:fill="FFFFFF"/>
        </w:rPr>
        <w:t>”</w:t>
      </w:r>
      <w:r w:rsidR="00883877">
        <w:rPr>
          <w:rFonts w:eastAsia="Times New Roman" w:cs="Times New Roman"/>
          <w:color w:val="000000"/>
          <w:shd w:val="clear" w:color="auto" w:fill="FFFFFF"/>
        </w:rPr>
        <w:t xml:space="preserve"> For basic information about the law go to:</w:t>
      </w:r>
      <w:r w:rsidRPr="00883877">
        <w:rPr>
          <w:rFonts w:eastAsia="Times New Roman" w:cs="Times New Roman"/>
          <w:color w:val="000000"/>
          <w:shd w:val="clear" w:color="auto" w:fill="FFFFFF"/>
        </w:rPr>
        <w:t xml:space="preserve"> </w:t>
      </w:r>
      <w:hyperlink r:id="rId13" w:history="1">
        <w:r w:rsidRPr="00883877">
          <w:rPr>
            <w:rStyle w:val="Hyperlink"/>
            <w:rFonts w:eastAsia="Times New Roman" w:cs="Times New Roman"/>
            <w:shd w:val="clear" w:color="auto" w:fill="FFFFFF"/>
          </w:rPr>
          <w:t>https://www.dol.gov/whd/regs/compliance/whdfs73.htm</w:t>
        </w:r>
      </w:hyperlink>
      <w:r w:rsidRPr="00883877">
        <w:rPr>
          <w:rFonts w:eastAsia="Times New Roman" w:cs="Times New Roman"/>
          <w:color w:val="000000"/>
          <w:shd w:val="clear" w:color="auto" w:fill="FFFFFF"/>
        </w:rPr>
        <w:t xml:space="preserve"> </w:t>
      </w:r>
    </w:p>
    <w:p w14:paraId="08FF3252" w14:textId="77777777" w:rsidR="00883877" w:rsidRPr="00883877" w:rsidRDefault="00883877" w:rsidP="00F67245">
      <w:pPr>
        <w:rPr>
          <w:rFonts w:eastAsia="Times New Roman" w:cs="Times New Roman"/>
        </w:rPr>
      </w:pPr>
    </w:p>
    <w:p w14:paraId="4A1E27C7" w14:textId="4B900C45" w:rsidR="00F67245" w:rsidRPr="00253FED" w:rsidRDefault="00F67245" w:rsidP="00147537">
      <w:r w:rsidRPr="00F67245">
        <w:rPr>
          <w:noProof/>
          <w:u w:val="single"/>
        </w:rPr>
        <mc:AlternateContent>
          <mc:Choice Requires="wps">
            <w:drawing>
              <wp:anchor distT="0" distB="0" distL="114300" distR="114300" simplePos="0" relativeHeight="251664384" behindDoc="0" locked="0" layoutInCell="1" allowOverlap="1" wp14:anchorId="2BEC7934" wp14:editId="70338CE7">
                <wp:simplePos x="0" y="0"/>
                <wp:positionH relativeFrom="column">
                  <wp:posOffset>-457200</wp:posOffset>
                </wp:positionH>
                <wp:positionV relativeFrom="paragraph">
                  <wp:posOffset>52070</wp:posOffset>
                </wp:positionV>
                <wp:extent cx="6515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95pt,4.1pt" to="477.0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" strokecolor="#4f81bd [3204]" strokeweight="2pt">
                <v:shadow on="t" opacity="24903f" mv:blur="40000f" origin=",.5" offset="0,20000emu"/>
              </v:line>
            </w:pict>
          </mc:Fallback>
        </mc:AlternateContent>
      </w:r>
    </w:p>
    <w:p w14:paraId="46E4DC28" w14:textId="77777777" w:rsidR="00147537" w:rsidRDefault="00147537" w:rsidP="00147537"/>
    <w:p w14:paraId="16310DEE" w14:textId="2CC59216" w:rsidR="00BD31E5" w:rsidRDefault="00BD31E5" w:rsidP="00055575">
      <w:r>
        <w:br w:type="page"/>
      </w:r>
    </w:p>
    <w:p w14:paraId="3282184E" w14:textId="77777777" w:rsidR="00055575" w:rsidRPr="00511E61" w:rsidRDefault="00055575" w:rsidP="00055575"/>
    <w:p w14:paraId="72F02804" w14:textId="77777777" w:rsidR="00055575" w:rsidRPr="00763DAA" w:rsidRDefault="00055575" w:rsidP="00055575">
      <w:pPr>
        <w:rPr>
          <w:b/>
        </w:rPr>
      </w:pPr>
      <w:r w:rsidRPr="00763DAA">
        <w:rPr>
          <w:b/>
        </w:rPr>
        <w:t>How to adopt and implement this in my company</w:t>
      </w:r>
    </w:p>
    <w:p w14:paraId="54537F6C" w14:textId="5DFF6BF2" w:rsidR="00785DB6" w:rsidRDefault="006A54F5" w:rsidP="00785DB6">
      <w:r>
        <w:t>Hawaii is the first State to require employers to provide health insurance to employees. Hawaii passed the Prepaid Health Care Act in 1974 (</w:t>
      </w:r>
      <w:r w:rsidRPr="00B82DD0">
        <w:rPr>
          <w:highlight w:val="yellow"/>
        </w:rPr>
        <w:t>WHAT????).</w:t>
      </w:r>
      <w:r>
        <w:t xml:space="preserve"> </w:t>
      </w:r>
    </w:p>
    <w:p w14:paraId="0764D86C" w14:textId="77777777" w:rsidR="00055575" w:rsidRDefault="00055575" w:rsidP="00785DB6"/>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08"/>
        <w:gridCol w:w="6948"/>
      </w:tblGrid>
      <w:tr w:rsidR="00B82DD0" w:rsidRPr="00C02AED" w14:paraId="74F9065D" w14:textId="77777777" w:rsidTr="00B82DD0">
        <w:tc>
          <w:tcPr>
            <w:tcW w:w="8856" w:type="dxa"/>
            <w:gridSpan w:val="2"/>
            <w:shd w:val="clear" w:color="auto" w:fill="ACD8D8"/>
          </w:tcPr>
          <w:p w14:paraId="1580458E" w14:textId="700814C8" w:rsidR="00B82DD0" w:rsidRPr="007A134A" w:rsidRDefault="00B82DD0" w:rsidP="00B82DD0">
            <w:pPr>
              <w:jc w:val="center"/>
              <w:rPr>
                <w:b/>
              </w:rPr>
            </w:pPr>
            <w:r>
              <w:rPr>
                <w:b/>
              </w:rPr>
              <w:t>Sample</w:t>
            </w:r>
            <w:r w:rsidRPr="007A134A">
              <w:rPr>
                <w:b/>
              </w:rPr>
              <w:t xml:space="preserve"> </w:t>
            </w:r>
            <w:r>
              <w:rPr>
                <w:b/>
              </w:rPr>
              <w:t>Health Support</w:t>
            </w:r>
            <w:r w:rsidRPr="007A134A">
              <w:rPr>
                <w:b/>
              </w:rPr>
              <w:t xml:space="preserve"> Policies</w:t>
            </w:r>
          </w:p>
        </w:tc>
      </w:tr>
      <w:tr w:rsidR="00B82DD0" w:rsidRPr="00C02AED" w14:paraId="424E7B80" w14:textId="77777777" w:rsidTr="00BC6A9D">
        <w:tc>
          <w:tcPr>
            <w:tcW w:w="1908" w:type="dxa"/>
            <w:vAlign w:val="center"/>
          </w:tcPr>
          <w:p w14:paraId="10761D51" w14:textId="3453C58F" w:rsidR="00B82DD0" w:rsidRDefault="00B82DD0" w:rsidP="00B82DD0">
            <w:pPr>
              <w:jc w:val="center"/>
              <w:rPr>
                <w:b/>
              </w:rPr>
            </w:pPr>
            <w:r>
              <w:rPr>
                <w:b/>
              </w:rPr>
              <w:t>Subsidized Health Insurance</w:t>
            </w:r>
            <w:r w:rsidRPr="00C02AED">
              <w:rPr>
                <w:b/>
              </w:rPr>
              <w:t xml:space="preserve"> Leave </w:t>
            </w:r>
          </w:p>
          <w:p w14:paraId="1E4F65E6" w14:textId="76C3C658" w:rsidR="00B82DD0" w:rsidRPr="00C02AED" w:rsidRDefault="00B82DD0" w:rsidP="00B82DD0">
            <w:pPr>
              <w:jc w:val="center"/>
              <w:rPr>
                <w:b/>
              </w:rPr>
            </w:pPr>
          </w:p>
        </w:tc>
        <w:tc>
          <w:tcPr>
            <w:tcW w:w="6948" w:type="dxa"/>
          </w:tcPr>
          <w:p w14:paraId="6704E83E" w14:textId="6850839D" w:rsidR="00B82DD0" w:rsidRPr="00171CF1" w:rsidRDefault="00B82DD0" w:rsidP="00B82DD0">
            <w:pPr>
              <w:pStyle w:val="ListParagraph"/>
              <w:numPr>
                <w:ilvl w:val="0"/>
                <w:numId w:val="5"/>
              </w:numPr>
              <w:rPr>
                <w:sz w:val="22"/>
                <w:szCs w:val="22"/>
              </w:rPr>
            </w:pPr>
          </w:p>
        </w:tc>
      </w:tr>
      <w:tr w:rsidR="00B82DD0" w:rsidRPr="00C02AED" w14:paraId="524C96A6" w14:textId="77777777" w:rsidTr="00BC6A9D">
        <w:tc>
          <w:tcPr>
            <w:tcW w:w="1908" w:type="dxa"/>
            <w:vAlign w:val="center"/>
          </w:tcPr>
          <w:p w14:paraId="57E4A355" w14:textId="225CE713" w:rsidR="00B82DD0" w:rsidRDefault="00B82DD0" w:rsidP="00B82DD0">
            <w:pPr>
              <w:jc w:val="center"/>
              <w:rPr>
                <w:b/>
              </w:rPr>
            </w:pPr>
            <w:r>
              <w:rPr>
                <w:b/>
              </w:rPr>
              <w:t>Breastfeeding Support</w:t>
            </w:r>
          </w:p>
          <w:p w14:paraId="795AD8CE" w14:textId="0F1FE736" w:rsidR="00B82DD0" w:rsidRPr="00C02AED" w:rsidRDefault="00B82DD0" w:rsidP="00B82DD0">
            <w:pPr>
              <w:jc w:val="center"/>
              <w:rPr>
                <w:b/>
              </w:rPr>
            </w:pPr>
          </w:p>
        </w:tc>
        <w:tc>
          <w:tcPr>
            <w:tcW w:w="6948" w:type="dxa"/>
          </w:tcPr>
          <w:p w14:paraId="2D3C4A60" w14:textId="11336B23" w:rsidR="00B82DD0" w:rsidRDefault="00147537" w:rsidP="00B82DD0">
            <w:pPr>
              <w:pStyle w:val="ListParagraph"/>
              <w:numPr>
                <w:ilvl w:val="0"/>
                <w:numId w:val="5"/>
              </w:numPr>
              <w:rPr>
                <w:sz w:val="22"/>
                <w:szCs w:val="22"/>
              </w:rPr>
            </w:pPr>
            <w:r>
              <w:rPr>
                <w:sz w:val="22"/>
                <w:szCs w:val="22"/>
              </w:rPr>
              <w:t xml:space="preserve">WomensHealth.gov </w:t>
            </w:r>
            <w:hyperlink r:id="rId14" w:history="1">
              <w:r w:rsidRPr="00B81F1A">
                <w:rPr>
                  <w:rStyle w:val="Hyperlink"/>
                  <w:sz w:val="22"/>
                  <w:szCs w:val="22"/>
                </w:rPr>
                <w:t>https://www.womenshealth.gov/breastfeeding/employer-solutions/index.html</w:t>
              </w:r>
            </w:hyperlink>
            <w:r>
              <w:rPr>
                <w:sz w:val="22"/>
                <w:szCs w:val="22"/>
              </w:rPr>
              <w:t xml:space="preserve"> </w:t>
            </w:r>
          </w:p>
          <w:p w14:paraId="1F5FAC3A" w14:textId="608977C2" w:rsidR="00B82DD0" w:rsidRDefault="008347FE" w:rsidP="00772D8E">
            <w:pPr>
              <w:pStyle w:val="ListParagraph"/>
              <w:numPr>
                <w:ilvl w:val="0"/>
                <w:numId w:val="5"/>
              </w:numPr>
              <w:rPr>
                <w:sz w:val="22"/>
                <w:szCs w:val="22"/>
              </w:rPr>
            </w:pPr>
            <w:hyperlink r:id="rId15" w:history="1">
              <w:r w:rsidR="00147537" w:rsidRPr="00B81F1A">
                <w:rPr>
                  <w:rStyle w:val="Hyperlink"/>
                  <w:sz w:val="22"/>
                  <w:szCs w:val="22"/>
                </w:rPr>
                <w:t>https://www.womenshealth.gov/files/assets/docs/breastfeeding/employer-solutions/samplepolicy.pdf</w:t>
              </w:r>
            </w:hyperlink>
          </w:p>
          <w:p w14:paraId="40C4A076" w14:textId="2C38F019" w:rsidR="00147537" w:rsidRPr="002B40F1" w:rsidRDefault="00147537" w:rsidP="00772D8E">
            <w:pPr>
              <w:pStyle w:val="ListParagraph"/>
              <w:numPr>
                <w:ilvl w:val="0"/>
                <w:numId w:val="5"/>
              </w:numPr>
              <w:rPr>
                <w:sz w:val="22"/>
                <w:szCs w:val="22"/>
              </w:rPr>
            </w:pPr>
          </w:p>
        </w:tc>
      </w:tr>
      <w:tr w:rsidR="00B82DD0" w:rsidRPr="00C02AED" w14:paraId="51FA141E" w14:textId="77777777" w:rsidTr="00BC6A9D">
        <w:tc>
          <w:tcPr>
            <w:tcW w:w="1908" w:type="dxa"/>
            <w:vAlign w:val="center"/>
          </w:tcPr>
          <w:p w14:paraId="5F3C3897" w14:textId="2120BDE2" w:rsidR="00B82DD0" w:rsidRDefault="00B82DD0" w:rsidP="00B82DD0">
            <w:pPr>
              <w:jc w:val="center"/>
              <w:rPr>
                <w:b/>
              </w:rPr>
            </w:pPr>
            <w:r>
              <w:rPr>
                <w:b/>
              </w:rPr>
              <w:t>Wellness Programs</w:t>
            </w:r>
          </w:p>
        </w:tc>
        <w:tc>
          <w:tcPr>
            <w:tcW w:w="6948" w:type="dxa"/>
          </w:tcPr>
          <w:p w14:paraId="2453F457" w14:textId="6F4D0765" w:rsidR="00B82DD0" w:rsidRDefault="00B82DD0" w:rsidP="00B82DD0">
            <w:pPr>
              <w:pStyle w:val="ListParagraph"/>
              <w:numPr>
                <w:ilvl w:val="0"/>
                <w:numId w:val="4"/>
              </w:numPr>
              <w:rPr>
                <w:rFonts w:eastAsia="Times New Roman" w:cs="Times New Roman"/>
              </w:rPr>
            </w:pPr>
            <w:r w:rsidRPr="008D2B58">
              <w:rPr>
                <w:rFonts w:eastAsia="Times New Roman" w:cs="Times New Roman"/>
              </w:rPr>
              <w:t xml:space="preserve">Women Employed: </w:t>
            </w:r>
          </w:p>
          <w:p w14:paraId="43D16E45" w14:textId="4A973153" w:rsidR="00B82DD0" w:rsidRPr="008D2B58" w:rsidRDefault="00B82DD0" w:rsidP="00B82DD0">
            <w:pPr>
              <w:pStyle w:val="ListParagraph"/>
              <w:numPr>
                <w:ilvl w:val="0"/>
                <w:numId w:val="4"/>
              </w:numPr>
              <w:rPr>
                <w:rFonts w:eastAsia="Times New Roman" w:cs="Times New Roman"/>
              </w:rPr>
            </w:pPr>
            <w:r>
              <w:rPr>
                <w:rFonts w:eastAsia="Times New Roman" w:cs="Times New Roman"/>
              </w:rPr>
              <w:t xml:space="preserve">Society for Human Resources: </w:t>
            </w:r>
          </w:p>
          <w:p w14:paraId="54801D8A" w14:textId="77777777" w:rsidR="00B82DD0" w:rsidRPr="00395B93" w:rsidRDefault="00B82DD0" w:rsidP="00B82DD0">
            <w:pPr>
              <w:rPr>
                <w:sz w:val="22"/>
                <w:szCs w:val="22"/>
              </w:rPr>
            </w:pPr>
          </w:p>
        </w:tc>
      </w:tr>
      <w:tr w:rsidR="00B82DD0" w:rsidRPr="00C02AED" w14:paraId="38C85173" w14:textId="77777777" w:rsidTr="00BC6A9D">
        <w:tc>
          <w:tcPr>
            <w:tcW w:w="1908" w:type="dxa"/>
            <w:vAlign w:val="center"/>
          </w:tcPr>
          <w:p w14:paraId="7A1687FC" w14:textId="681F7424" w:rsidR="00B82DD0" w:rsidRPr="00BC6A9D" w:rsidRDefault="00B82DD0" w:rsidP="00B82DD0">
            <w:pPr>
              <w:jc w:val="center"/>
              <w:rPr>
                <w:b/>
                <w:sz w:val="22"/>
                <w:szCs w:val="22"/>
              </w:rPr>
            </w:pPr>
            <w:r w:rsidRPr="00BC6A9D">
              <w:rPr>
                <w:b/>
                <w:sz w:val="22"/>
                <w:szCs w:val="22"/>
              </w:rPr>
              <w:t>Reasonable Accommodation</w:t>
            </w:r>
          </w:p>
        </w:tc>
        <w:tc>
          <w:tcPr>
            <w:tcW w:w="6948" w:type="dxa"/>
          </w:tcPr>
          <w:p w14:paraId="176F457F" w14:textId="08429347" w:rsidR="00B82DD0" w:rsidRPr="00D96B82" w:rsidRDefault="00F67245" w:rsidP="00B82DD0">
            <w:pPr>
              <w:pStyle w:val="ListParagraph"/>
              <w:numPr>
                <w:ilvl w:val="0"/>
                <w:numId w:val="4"/>
              </w:numPr>
              <w:rPr>
                <w:rFonts w:eastAsia="Times New Roman" w:cs="Times New Roman"/>
                <w:sz w:val="22"/>
                <w:szCs w:val="22"/>
              </w:rPr>
            </w:pPr>
            <w:r w:rsidRPr="00D96B82">
              <w:rPr>
                <w:rFonts w:eastAsia="Times New Roman" w:cs="Times New Roman"/>
                <w:sz w:val="22"/>
                <w:szCs w:val="22"/>
              </w:rPr>
              <w:t xml:space="preserve">Reasonable Accommodations for Pregnant Workers by state: </w:t>
            </w:r>
            <w:hyperlink r:id="rId16" w:history="1">
              <w:r w:rsidRPr="00D96B82">
                <w:rPr>
                  <w:rStyle w:val="Hyperlink"/>
                  <w:rFonts w:eastAsia="Times New Roman" w:cs="Times New Roman"/>
                  <w:sz w:val="22"/>
                  <w:szCs w:val="22"/>
                </w:rPr>
                <w:t>http://www.nationalpartnership.org/research-library/workplace-fairness/pregnancy-discrimination/reasonable-accommodations-for-pregnant-workers-state-laws.pdf</w:t>
              </w:r>
            </w:hyperlink>
          </w:p>
          <w:p w14:paraId="4D6BB9EB" w14:textId="3B582416" w:rsidR="00F5483B" w:rsidRPr="008D2B58" w:rsidRDefault="00F5483B" w:rsidP="00F5483B">
            <w:pPr>
              <w:pStyle w:val="ListParagraph"/>
              <w:numPr>
                <w:ilvl w:val="0"/>
                <w:numId w:val="4"/>
              </w:numPr>
              <w:rPr>
                <w:rFonts w:eastAsia="Times New Roman" w:cs="Times New Roman"/>
              </w:rPr>
            </w:pPr>
          </w:p>
        </w:tc>
      </w:tr>
    </w:tbl>
    <w:p w14:paraId="3635C02D" w14:textId="77777777" w:rsidR="00B82DD0" w:rsidRDefault="00B82DD0" w:rsidP="00785DB6"/>
    <w:p w14:paraId="4B3A3ADA" w14:textId="55F5B02C" w:rsidR="00B82DD0" w:rsidRDefault="00B82DD0" w:rsidP="00785DB6">
      <w:r>
        <w:rPr>
          <w:noProof/>
        </w:rPr>
        <mc:AlternateContent>
          <mc:Choice Requires="wps">
            <w:drawing>
              <wp:anchor distT="0" distB="0" distL="114300" distR="114300" simplePos="0" relativeHeight="251662336" behindDoc="0" locked="0" layoutInCell="1" allowOverlap="1" wp14:anchorId="41456C01" wp14:editId="4D74729B">
                <wp:simplePos x="0" y="0"/>
                <wp:positionH relativeFrom="column">
                  <wp:posOffset>-457200</wp:posOffset>
                </wp:positionH>
                <wp:positionV relativeFrom="paragraph">
                  <wp:posOffset>52705</wp:posOffset>
                </wp:positionV>
                <wp:extent cx="65151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4.15pt" to="477.05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" strokecolor="#4f81bd [3204]" strokeweight="2pt">
                <v:shadow on="t" opacity="24903f" mv:blur="40000f" origin=",.5" offset="0,20000emu"/>
              </v:line>
            </w:pict>
          </mc:Fallback>
        </mc:AlternateContent>
      </w:r>
    </w:p>
    <w:p w14:paraId="20D764F8" w14:textId="77777777" w:rsidR="00B82DD0" w:rsidRPr="00B82DD0" w:rsidRDefault="00B82DD0" w:rsidP="00785DB6">
      <w:pPr>
        <w:rPr>
          <w:b/>
        </w:rPr>
      </w:pPr>
      <w:r w:rsidRPr="00B82DD0">
        <w:rPr>
          <w:b/>
        </w:rPr>
        <w:t>Business Testimony for Wellness Programs</w:t>
      </w:r>
    </w:p>
    <w:p w14:paraId="64FBA68B" w14:textId="77777777" w:rsidR="00B82DD0" w:rsidRDefault="00B82DD0" w:rsidP="00785DB6">
      <w:r>
        <w:t xml:space="preserve">Talk to </w:t>
      </w:r>
      <w:r w:rsidRPr="00B82DD0">
        <w:rPr>
          <w:highlight w:val="yellow"/>
        </w:rPr>
        <w:t>Michelle from Nusenda</w:t>
      </w:r>
    </w:p>
    <w:p w14:paraId="23BACBE0" w14:textId="2531180F" w:rsidR="00B82DD0" w:rsidRDefault="00B82DD0" w:rsidP="00785DB6">
      <w:r>
        <w:br w:type="page"/>
      </w:r>
    </w:p>
    <w:p w14:paraId="64166C00" w14:textId="77777777" w:rsidR="00785DB6" w:rsidRDefault="00785DB6" w:rsidP="00785DB6"/>
    <w:p w14:paraId="705DBC57" w14:textId="0BB7C1D6" w:rsidR="005611FC" w:rsidRPr="005611FC" w:rsidRDefault="005611FC" w:rsidP="00785DB6">
      <w:pPr>
        <w:rPr>
          <w:b/>
        </w:rPr>
      </w:pPr>
      <w:r>
        <w:rPr>
          <w:b/>
        </w:rPr>
        <w:t>Citation</w:t>
      </w:r>
      <w:r w:rsidRPr="005611FC">
        <w:rPr>
          <w:b/>
        </w:rPr>
        <w:t>s</w:t>
      </w:r>
    </w:p>
    <w:p w14:paraId="7D18D169" w14:textId="77777777" w:rsidR="008347FE" w:rsidRPr="00BA62CB" w:rsidRDefault="008347FE" w:rsidP="008347FE">
      <w:pPr>
        <w:rPr>
          <w:rFonts w:ascii="Times New Roman" w:hAnsi="Times New Roman" w:cs="Times New Roman"/>
          <w:sz w:val="20"/>
          <w:szCs w:val="20"/>
        </w:rPr>
      </w:pPr>
      <w:r w:rsidRPr="00BA62CB">
        <w:rPr>
          <w:rFonts w:ascii="Times New Roman" w:hAnsi="Times New Roman" w:cs="Times New Roman"/>
          <w:sz w:val="20"/>
          <w:szCs w:val="20"/>
        </w:rPr>
        <w:t xml:space="preserve">Bartick, M., Reinhold, R., (2010). The Burden of Suboptimal Breastfeeding in the United States: A Pediatric Cost Analysis. Journal of Pediatrics. March 2010. </w:t>
      </w:r>
    </w:p>
    <w:p w14:paraId="3C26AFF1" w14:textId="77777777" w:rsidR="008347FE" w:rsidRDefault="008347FE" w:rsidP="005611FC">
      <w:pPr>
        <w:widowControl w:val="0"/>
        <w:autoSpaceDE w:val="0"/>
        <w:autoSpaceDN w:val="0"/>
        <w:adjustRightInd w:val="0"/>
        <w:rPr>
          <w:rFonts w:ascii="Times New Roman" w:hAnsi="Times New Roman" w:cs="Times New Roman"/>
          <w:sz w:val="20"/>
          <w:szCs w:val="20"/>
        </w:rPr>
      </w:pPr>
    </w:p>
    <w:p w14:paraId="570F579B" w14:textId="443DB808" w:rsidR="005611FC" w:rsidRPr="00BA62CB" w:rsidRDefault="005611FC" w:rsidP="008347FE">
      <w:pPr>
        <w:widowControl w:val="0"/>
        <w:autoSpaceDE w:val="0"/>
        <w:autoSpaceDN w:val="0"/>
        <w:adjustRightInd w:val="0"/>
        <w:rPr>
          <w:rFonts w:ascii="Times New Roman" w:hAnsi="Times New Roman" w:cs="Times New Roman"/>
          <w:sz w:val="20"/>
          <w:szCs w:val="20"/>
        </w:rPr>
      </w:pPr>
      <w:r w:rsidRPr="00BA62CB">
        <w:rPr>
          <w:rFonts w:ascii="Times New Roman" w:hAnsi="Times New Roman" w:cs="Times New Roman"/>
          <w:sz w:val="20"/>
          <w:szCs w:val="20"/>
        </w:rPr>
        <w:t xml:space="preserve">Del Bono, E, and B. Rabe, (2012). </w:t>
      </w:r>
      <w:r w:rsidRPr="00BA62CB">
        <w:rPr>
          <w:rFonts w:ascii="0ãÚøÁEÎ" w:hAnsi="0ãÚøÁEÎ" w:cs="0ãÚøÁEÎ"/>
          <w:sz w:val="20"/>
          <w:szCs w:val="20"/>
        </w:rPr>
        <w:t>“</w:t>
      </w:r>
      <w:r w:rsidRPr="00BA62CB">
        <w:rPr>
          <w:rFonts w:ascii="Times New Roman" w:hAnsi="Times New Roman" w:cs="Times New Roman"/>
          <w:sz w:val="20"/>
          <w:szCs w:val="20"/>
        </w:rPr>
        <w:t>Estimating The Causal Effects Of</w:t>
      </w:r>
      <w:r w:rsidR="008347FE">
        <w:rPr>
          <w:rFonts w:ascii="Times New Roman" w:hAnsi="Times New Roman" w:cs="Times New Roman"/>
          <w:sz w:val="20"/>
          <w:szCs w:val="20"/>
        </w:rPr>
        <w:t xml:space="preserve"> </w:t>
      </w:r>
      <w:r w:rsidRPr="00BA62CB">
        <w:rPr>
          <w:rFonts w:ascii="Times New Roman" w:hAnsi="Times New Roman" w:cs="Times New Roman"/>
          <w:sz w:val="20"/>
          <w:szCs w:val="20"/>
        </w:rPr>
        <w:t>Breastfeeding On Early Child Outcomes.</w:t>
      </w:r>
      <w:r w:rsidRPr="00BA62CB">
        <w:rPr>
          <w:rFonts w:ascii="0ãÚøÁEÎ" w:hAnsi="0ãÚøÁEÎ" w:cs="0ãÚøÁEÎ"/>
          <w:sz w:val="20"/>
          <w:szCs w:val="20"/>
        </w:rPr>
        <w:t>” Working paper 2012</w:t>
      </w:r>
      <w:r w:rsidRPr="00BA62CB">
        <w:rPr>
          <w:rFonts w:ascii="Times New Roman" w:hAnsi="Times New Roman" w:cs="Times New Roman"/>
          <w:sz w:val="20"/>
          <w:szCs w:val="20"/>
        </w:rPr>
        <w:t>-29, Institute</w:t>
      </w:r>
      <w:r w:rsidR="008347FE">
        <w:rPr>
          <w:rFonts w:ascii="Times New Roman" w:hAnsi="Times New Roman" w:cs="Times New Roman"/>
          <w:sz w:val="20"/>
          <w:szCs w:val="20"/>
        </w:rPr>
        <w:t xml:space="preserve"> </w:t>
      </w:r>
      <w:r w:rsidRPr="00BA62CB">
        <w:rPr>
          <w:rFonts w:ascii="Times New Roman" w:hAnsi="Times New Roman" w:cs="Times New Roman"/>
          <w:sz w:val="20"/>
          <w:szCs w:val="20"/>
        </w:rPr>
        <w:t>for Social and Economic Research.</w:t>
      </w:r>
    </w:p>
    <w:p w14:paraId="6D56BA17" w14:textId="77777777" w:rsidR="008347FE" w:rsidRDefault="008347FE" w:rsidP="008347FE">
      <w:pPr>
        <w:rPr>
          <w:sz w:val="20"/>
          <w:szCs w:val="20"/>
        </w:rPr>
      </w:pPr>
    </w:p>
    <w:p w14:paraId="73F7326F" w14:textId="77777777" w:rsidR="008347FE" w:rsidRPr="00BA62CB" w:rsidRDefault="008347FE" w:rsidP="008347FE">
      <w:pPr>
        <w:rPr>
          <w:sz w:val="20"/>
          <w:szCs w:val="20"/>
        </w:rPr>
      </w:pPr>
      <w:r w:rsidRPr="00BA62CB">
        <w:rPr>
          <w:sz w:val="20"/>
          <w:szCs w:val="20"/>
        </w:rPr>
        <w:t xml:space="preserve">Dickson V, Hawkes C, Slusser W, Lange L, &amp; Cohen R. (2000). The positive impact of a corporate lactation program. </w:t>
      </w:r>
      <w:r w:rsidRPr="00BA62CB">
        <w:rPr>
          <w:i/>
          <w:iCs/>
          <w:sz w:val="20"/>
          <w:szCs w:val="20"/>
        </w:rPr>
        <w:t xml:space="preserve">Journal of Human Lactation, </w:t>
      </w:r>
      <w:r w:rsidRPr="00BA62CB">
        <w:rPr>
          <w:sz w:val="20"/>
          <w:szCs w:val="20"/>
        </w:rPr>
        <w:t>18(1), 61-65. on breastfeeding initiation and duration rates: help for the working mother. Unpublished manuscript. Presented at the Annual Seminar for Physicians, co-sponsored by the www.bls.gov/news.release/pdf/famee.pdf American Academy of Pediatrics, American College of Obstetricians and Gynecologists, and La Leche League International, on July 21, 2000.</w:t>
      </w:r>
    </w:p>
    <w:p w14:paraId="2100DD37" w14:textId="77777777" w:rsidR="00B77B20" w:rsidRPr="00BA62CB" w:rsidRDefault="00B77B20" w:rsidP="005611FC">
      <w:pPr>
        <w:rPr>
          <w:rFonts w:ascii="Times New Roman" w:hAnsi="Times New Roman" w:cs="Times New Roman"/>
          <w:sz w:val="20"/>
          <w:szCs w:val="20"/>
        </w:rPr>
      </w:pPr>
    </w:p>
    <w:p w14:paraId="78AD4A46" w14:textId="77777777" w:rsidR="00BA62CB" w:rsidRPr="00BA62CB" w:rsidRDefault="00BA62CB" w:rsidP="00BA62CB">
      <w:pPr>
        <w:rPr>
          <w:sz w:val="20"/>
          <w:szCs w:val="20"/>
        </w:rPr>
      </w:pPr>
      <w:r w:rsidRPr="00BA62CB">
        <w:rPr>
          <w:sz w:val="20"/>
          <w:szCs w:val="20"/>
        </w:rPr>
        <w:t xml:space="preserve">Economics of Paid and Unpaid Leave – White House Council of Economic Advisors (June 2014) </w:t>
      </w:r>
      <w:hyperlink r:id="rId17" w:history="1">
        <w:r w:rsidRPr="00BA62CB">
          <w:rPr>
            <w:rStyle w:val="Hyperlink"/>
            <w:sz w:val="20"/>
            <w:szCs w:val="20"/>
          </w:rPr>
          <w:t>https://www.whitehouse.gov/sites/default/files/docs/leave_report_final.pdf</w:t>
        </w:r>
      </w:hyperlink>
      <w:r w:rsidRPr="00BA62CB">
        <w:rPr>
          <w:sz w:val="20"/>
          <w:szCs w:val="20"/>
        </w:rPr>
        <w:t xml:space="preserve"> (retrieved 10/25/16)</w:t>
      </w:r>
    </w:p>
    <w:p w14:paraId="7AE1CB06" w14:textId="77777777" w:rsidR="00BA62CB" w:rsidRPr="00BA62CB" w:rsidRDefault="00BA62CB" w:rsidP="005611FC">
      <w:pPr>
        <w:rPr>
          <w:rFonts w:ascii="Times New Roman" w:hAnsi="Times New Roman" w:cs="Times New Roman"/>
          <w:sz w:val="20"/>
          <w:szCs w:val="20"/>
        </w:rPr>
      </w:pPr>
    </w:p>
    <w:p w14:paraId="5A843973" w14:textId="77777777" w:rsidR="008347FE" w:rsidRPr="00BA62CB" w:rsidRDefault="008347FE" w:rsidP="008347FE">
      <w:pPr>
        <w:rPr>
          <w:sz w:val="20"/>
          <w:szCs w:val="20"/>
        </w:rPr>
      </w:pPr>
      <w:r w:rsidRPr="00BA62CB">
        <w:rPr>
          <w:sz w:val="20"/>
          <w:szCs w:val="20"/>
        </w:rPr>
        <w:t xml:space="preserve">National Immunization Survey. (2013). Centers for Disease Control and Prevention. Available online at: www.cdc.gov/ </w:t>
      </w:r>
    </w:p>
    <w:p w14:paraId="1D9CD615" w14:textId="77777777" w:rsidR="008347FE" w:rsidRDefault="008347FE" w:rsidP="005611FC">
      <w:pPr>
        <w:rPr>
          <w:sz w:val="20"/>
          <w:szCs w:val="20"/>
        </w:rPr>
      </w:pPr>
    </w:p>
    <w:p w14:paraId="05F5A02D" w14:textId="4DA57C5E" w:rsidR="006A54F5" w:rsidRPr="00BA62CB" w:rsidRDefault="006A54F5" w:rsidP="005611FC">
      <w:pPr>
        <w:rPr>
          <w:sz w:val="20"/>
          <w:szCs w:val="20"/>
        </w:rPr>
      </w:pPr>
      <w:r w:rsidRPr="00BA62CB">
        <w:rPr>
          <w:sz w:val="20"/>
          <w:szCs w:val="20"/>
        </w:rPr>
        <w:t xml:space="preserve">Should you offer Employees Health Care Benefits? (2014) Business Owner’s Toolkit </w:t>
      </w:r>
      <w:hyperlink r:id="rId18" w:history="1">
        <w:r w:rsidRPr="00BA62CB">
          <w:rPr>
            <w:rStyle w:val="Hyperlink"/>
            <w:sz w:val="20"/>
            <w:szCs w:val="20"/>
          </w:rPr>
          <w:t>http://www.bizfilings.com/toolkit/sbg/office-hr/managing-the-workplace/offering-health-care-benefits.aspx</w:t>
        </w:r>
      </w:hyperlink>
      <w:r w:rsidRPr="00BA62CB">
        <w:rPr>
          <w:sz w:val="20"/>
          <w:szCs w:val="20"/>
        </w:rPr>
        <w:t xml:space="preserve"> </w:t>
      </w:r>
    </w:p>
    <w:p w14:paraId="19B7707B" w14:textId="77777777" w:rsidR="00F5483B" w:rsidRPr="00BA62CB" w:rsidRDefault="00F5483B" w:rsidP="005611FC">
      <w:pPr>
        <w:rPr>
          <w:sz w:val="20"/>
          <w:szCs w:val="20"/>
        </w:rPr>
      </w:pPr>
    </w:p>
    <w:p w14:paraId="46F69498" w14:textId="77777777" w:rsidR="00F5483B" w:rsidRPr="00BA62CB" w:rsidRDefault="00F5483B" w:rsidP="00BA62CB">
      <w:pPr>
        <w:rPr>
          <w:rFonts w:eastAsia="Times New Roman" w:cs="Times New Roman"/>
          <w:sz w:val="20"/>
          <w:szCs w:val="20"/>
        </w:rPr>
      </w:pPr>
      <w:r w:rsidRPr="00BA62CB">
        <w:rPr>
          <w:rFonts w:eastAsia="Times New Roman" w:cs="Times New Roman"/>
          <w:sz w:val="20"/>
          <w:szCs w:val="20"/>
        </w:rPr>
        <w:t xml:space="preserve">Women Employed “Your Rights When You Are Pregnant” </w:t>
      </w:r>
      <w:hyperlink r:id="rId19" w:history="1">
        <w:r w:rsidRPr="00BA62CB">
          <w:rPr>
            <w:rStyle w:val="Hyperlink"/>
            <w:rFonts w:eastAsia="Times New Roman" w:cs="Times New Roman"/>
            <w:sz w:val="20"/>
            <w:szCs w:val="20"/>
          </w:rPr>
          <w:t>https://womenemployed.org/sites/default/files/resources/YourRightsWhenYouArePregnant2012.pdf</w:t>
        </w:r>
      </w:hyperlink>
    </w:p>
    <w:p w14:paraId="645ABB69" w14:textId="77777777" w:rsidR="006E162F" w:rsidRPr="00BA62CB" w:rsidRDefault="006E162F" w:rsidP="006E162F">
      <w:pPr>
        <w:pStyle w:val="Default"/>
        <w:rPr>
          <w:sz w:val="20"/>
          <w:szCs w:val="20"/>
        </w:rPr>
      </w:pPr>
    </w:p>
    <w:p w14:paraId="1944054D" w14:textId="17E5ABA7" w:rsidR="006E162F" w:rsidRPr="00BA62CB" w:rsidRDefault="006E162F" w:rsidP="006E162F">
      <w:pPr>
        <w:rPr>
          <w:sz w:val="20"/>
          <w:szCs w:val="20"/>
        </w:rPr>
      </w:pPr>
      <w:bookmarkStart w:id="0" w:name="_GoBack"/>
      <w:bookmarkEnd w:id="0"/>
      <w:r w:rsidRPr="00BA62CB">
        <w:rPr>
          <w:sz w:val="20"/>
          <w:szCs w:val="20"/>
        </w:rPr>
        <w:t xml:space="preserve">U.S. Bureau of Labor Statistics. (2005) Division of working mother. Labor Force Statistics, Washington, D.C. Available at: </w:t>
      </w:r>
      <w:hyperlink r:id="rId20" w:history="1">
        <w:r w:rsidR="008347FE" w:rsidRPr="00BA62CB">
          <w:rPr>
            <w:rStyle w:val="Hyperlink"/>
            <w:sz w:val="20"/>
            <w:szCs w:val="20"/>
          </w:rPr>
          <w:t>http://www.bls.gov/ncs/ebs/benefits/2016/ownership_tab.htm</w:t>
        </w:r>
      </w:hyperlink>
    </w:p>
    <w:p w14:paraId="594912F3" w14:textId="77777777" w:rsidR="006E162F" w:rsidRPr="00BA62CB" w:rsidRDefault="006E162F" w:rsidP="006E162F">
      <w:pPr>
        <w:rPr>
          <w:sz w:val="20"/>
          <w:szCs w:val="20"/>
        </w:rPr>
      </w:pPr>
    </w:p>
    <w:sectPr w:rsidR="006E162F" w:rsidRPr="00BA62CB" w:rsidSect="00BD31E5">
      <w:headerReference w:type="default" r:id="rId21"/>
      <w:footerReference w:type="even" r:id="rId22"/>
      <w:footerReference w:type="default" r:id="rId23"/>
      <w:pgSz w:w="12240" w:h="15840"/>
      <w:pgMar w:top="1440" w:right="1512" w:bottom="1440"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B0D80" w14:textId="77777777" w:rsidR="00E65861" w:rsidRDefault="00E65861" w:rsidP="00785DB6">
      <w:r>
        <w:separator/>
      </w:r>
    </w:p>
  </w:endnote>
  <w:endnote w:type="continuationSeparator" w:id="0">
    <w:p w14:paraId="232F1359" w14:textId="77777777" w:rsidR="00E65861" w:rsidRDefault="00E65861" w:rsidP="0078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arnock Pro">
    <w:altName w:val="Cambria"/>
    <w:panose1 w:val="00000000000000000000"/>
    <w:charset w:val="4D"/>
    <w:family w:val="roman"/>
    <w:notTrueType/>
    <w:pitch w:val="default"/>
    <w:sig w:usb0="00000003" w:usb1="00000000" w:usb2="00000000" w:usb3="00000000" w:csb0="00000001" w:csb1="00000000"/>
  </w:font>
  <w:font w:name="0ãÚøÁEÎ">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A1A25" w14:textId="77777777" w:rsidR="00E65861" w:rsidRDefault="00E65861" w:rsidP="00E65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1B504" w14:textId="77777777" w:rsidR="00E65861" w:rsidRDefault="00E65861" w:rsidP="00BD31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824C" w14:textId="77777777" w:rsidR="00E65861" w:rsidRDefault="00E65861" w:rsidP="00E65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7FE">
      <w:rPr>
        <w:rStyle w:val="PageNumber"/>
        <w:noProof/>
      </w:rPr>
      <w:t>1</w:t>
    </w:r>
    <w:r>
      <w:rPr>
        <w:rStyle w:val="PageNumber"/>
      </w:rPr>
      <w:fldChar w:fldCharType="end"/>
    </w:r>
  </w:p>
  <w:p w14:paraId="11C99EEC" w14:textId="77777777" w:rsidR="00E65861" w:rsidRDefault="00E65861" w:rsidP="00BD31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C0918" w14:textId="77777777" w:rsidR="00E65861" w:rsidRDefault="00E65861" w:rsidP="00785DB6">
      <w:r>
        <w:separator/>
      </w:r>
    </w:p>
  </w:footnote>
  <w:footnote w:type="continuationSeparator" w:id="0">
    <w:p w14:paraId="10227963" w14:textId="77777777" w:rsidR="00E65861" w:rsidRDefault="00E65861" w:rsidP="00785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F65F" w14:textId="410B7423" w:rsidR="00E65861" w:rsidRPr="00785DB6" w:rsidRDefault="00E65861">
    <w:pPr>
      <w:pStyle w:val="Header"/>
      <w:rPr>
        <w:sz w:val="20"/>
        <w:szCs w:val="20"/>
      </w:rPr>
    </w:pPr>
    <w:r w:rsidRPr="00785DB6">
      <w:rPr>
        <w:sz w:val="20"/>
        <w:szCs w:val="20"/>
      </w:rPr>
      <w:t>U</w:t>
    </w:r>
    <w:r>
      <w:rPr>
        <w:sz w:val="20"/>
        <w:szCs w:val="20"/>
      </w:rPr>
      <w:t>pdated April 19</w:t>
    </w:r>
    <w:r w:rsidRPr="00785DB6">
      <w:rPr>
        <w:sz w:val="20"/>
        <w:szCs w:val="20"/>
      </w:rPr>
      <w:t>, 201</w:t>
    </w:r>
    <w:r>
      <w:rPr>
        <w:sz w:val="20"/>
        <w:szCs w:val="2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518"/>
    <w:multiLevelType w:val="hybridMultilevel"/>
    <w:tmpl w:val="F1B0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C3B5D"/>
    <w:multiLevelType w:val="hybridMultilevel"/>
    <w:tmpl w:val="34BA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664C1"/>
    <w:multiLevelType w:val="hybridMultilevel"/>
    <w:tmpl w:val="014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B42EA"/>
    <w:multiLevelType w:val="hybridMultilevel"/>
    <w:tmpl w:val="F0A44B62"/>
    <w:lvl w:ilvl="0" w:tplc="A2589A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A5B2F"/>
    <w:multiLevelType w:val="hybridMultilevel"/>
    <w:tmpl w:val="A7A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739EA"/>
    <w:multiLevelType w:val="hybridMultilevel"/>
    <w:tmpl w:val="5AD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E76BE"/>
    <w:multiLevelType w:val="hybridMultilevel"/>
    <w:tmpl w:val="6BA0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46DA7"/>
    <w:multiLevelType w:val="multilevel"/>
    <w:tmpl w:val="B766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4D1E1A"/>
    <w:multiLevelType w:val="hybridMultilevel"/>
    <w:tmpl w:val="139A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00A7E"/>
    <w:multiLevelType w:val="multilevel"/>
    <w:tmpl w:val="818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2A262B"/>
    <w:multiLevelType w:val="hybridMultilevel"/>
    <w:tmpl w:val="F96C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17A54"/>
    <w:multiLevelType w:val="hybridMultilevel"/>
    <w:tmpl w:val="5C3E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A450E3"/>
    <w:multiLevelType w:val="hybridMultilevel"/>
    <w:tmpl w:val="A618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5"/>
  </w:num>
  <w:num w:numId="6">
    <w:abstractNumId w:val="9"/>
  </w:num>
  <w:num w:numId="7">
    <w:abstractNumId w:val="7"/>
  </w:num>
  <w:num w:numId="8">
    <w:abstractNumId w:val="11"/>
  </w:num>
  <w:num w:numId="9">
    <w:abstractNumId w:val="4"/>
  </w:num>
  <w:num w:numId="10">
    <w:abstractNumId w:val="10"/>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6"/>
    <w:rsid w:val="00055575"/>
    <w:rsid w:val="000D3451"/>
    <w:rsid w:val="00147537"/>
    <w:rsid w:val="001A3551"/>
    <w:rsid w:val="003455A4"/>
    <w:rsid w:val="00385392"/>
    <w:rsid w:val="00436874"/>
    <w:rsid w:val="00455ABE"/>
    <w:rsid w:val="005611FC"/>
    <w:rsid w:val="006A54F5"/>
    <w:rsid w:val="006A557D"/>
    <w:rsid w:val="006E162F"/>
    <w:rsid w:val="006F6FCD"/>
    <w:rsid w:val="00720588"/>
    <w:rsid w:val="00723121"/>
    <w:rsid w:val="00763DAA"/>
    <w:rsid w:val="00772D8E"/>
    <w:rsid w:val="00785DB6"/>
    <w:rsid w:val="007B76F5"/>
    <w:rsid w:val="008347FE"/>
    <w:rsid w:val="00883877"/>
    <w:rsid w:val="008D1EB6"/>
    <w:rsid w:val="00977981"/>
    <w:rsid w:val="009D6826"/>
    <w:rsid w:val="00A34D6B"/>
    <w:rsid w:val="00A8407C"/>
    <w:rsid w:val="00AC6F1A"/>
    <w:rsid w:val="00B00815"/>
    <w:rsid w:val="00B77B20"/>
    <w:rsid w:val="00B825B6"/>
    <w:rsid w:val="00B82DD0"/>
    <w:rsid w:val="00BA62CB"/>
    <w:rsid w:val="00BC6A9D"/>
    <w:rsid w:val="00BD2DA4"/>
    <w:rsid w:val="00BD31E5"/>
    <w:rsid w:val="00C20032"/>
    <w:rsid w:val="00C66B46"/>
    <w:rsid w:val="00C732B1"/>
    <w:rsid w:val="00C96048"/>
    <w:rsid w:val="00CE2207"/>
    <w:rsid w:val="00D016B4"/>
    <w:rsid w:val="00D207CB"/>
    <w:rsid w:val="00D96B82"/>
    <w:rsid w:val="00DE0193"/>
    <w:rsid w:val="00DF698C"/>
    <w:rsid w:val="00E3397A"/>
    <w:rsid w:val="00E65861"/>
    <w:rsid w:val="00E852A1"/>
    <w:rsid w:val="00F5483B"/>
    <w:rsid w:val="00F67245"/>
    <w:rsid w:val="00FB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1E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01B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B6"/>
    <w:pPr>
      <w:tabs>
        <w:tab w:val="center" w:pos="4320"/>
        <w:tab w:val="right" w:pos="8640"/>
      </w:tabs>
    </w:pPr>
  </w:style>
  <w:style w:type="character" w:customStyle="1" w:styleId="HeaderChar">
    <w:name w:val="Header Char"/>
    <w:basedOn w:val="DefaultParagraphFont"/>
    <w:link w:val="Header"/>
    <w:uiPriority w:val="99"/>
    <w:rsid w:val="00785DB6"/>
  </w:style>
  <w:style w:type="paragraph" w:styleId="Footer">
    <w:name w:val="footer"/>
    <w:basedOn w:val="Normal"/>
    <w:link w:val="FooterChar"/>
    <w:uiPriority w:val="99"/>
    <w:unhideWhenUsed/>
    <w:rsid w:val="00785DB6"/>
    <w:pPr>
      <w:tabs>
        <w:tab w:val="center" w:pos="4320"/>
        <w:tab w:val="right" w:pos="8640"/>
      </w:tabs>
    </w:pPr>
  </w:style>
  <w:style w:type="character" w:customStyle="1" w:styleId="FooterChar">
    <w:name w:val="Footer Char"/>
    <w:basedOn w:val="DefaultParagraphFont"/>
    <w:link w:val="Footer"/>
    <w:uiPriority w:val="99"/>
    <w:rsid w:val="00785DB6"/>
  </w:style>
  <w:style w:type="table" w:styleId="TableGrid">
    <w:name w:val="Table Grid"/>
    <w:basedOn w:val="TableNormal"/>
    <w:uiPriority w:val="59"/>
    <w:rsid w:val="00785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6B46"/>
    <w:rPr>
      <w:color w:val="0000FF" w:themeColor="hyperlink"/>
      <w:u w:val="single"/>
    </w:rPr>
  </w:style>
  <w:style w:type="paragraph" w:styleId="ListParagraph">
    <w:name w:val="List Paragraph"/>
    <w:basedOn w:val="Normal"/>
    <w:uiPriority w:val="34"/>
    <w:qFormat/>
    <w:rsid w:val="000D3451"/>
    <w:pPr>
      <w:ind w:left="720"/>
      <w:contextualSpacing/>
    </w:pPr>
  </w:style>
  <w:style w:type="character" w:customStyle="1" w:styleId="apple-converted-space">
    <w:name w:val="apple-converted-space"/>
    <w:basedOn w:val="DefaultParagraphFont"/>
    <w:rsid w:val="00FB01B9"/>
  </w:style>
  <w:style w:type="character" w:customStyle="1" w:styleId="Heading3Char">
    <w:name w:val="Heading 3 Char"/>
    <w:basedOn w:val="DefaultParagraphFont"/>
    <w:link w:val="Heading3"/>
    <w:uiPriority w:val="9"/>
    <w:rsid w:val="00FB01B9"/>
    <w:rPr>
      <w:rFonts w:ascii="Times" w:hAnsi="Times"/>
      <w:b/>
      <w:bCs/>
      <w:sz w:val="27"/>
      <w:szCs w:val="27"/>
    </w:rPr>
  </w:style>
  <w:style w:type="character" w:styleId="Strong">
    <w:name w:val="Strong"/>
    <w:basedOn w:val="DefaultParagraphFont"/>
    <w:uiPriority w:val="22"/>
    <w:qFormat/>
    <w:rsid w:val="00F67245"/>
    <w:rPr>
      <w:b/>
      <w:bCs/>
    </w:rPr>
  </w:style>
  <w:style w:type="paragraph" w:customStyle="1" w:styleId="Default">
    <w:name w:val="Default"/>
    <w:rsid w:val="006E162F"/>
    <w:pPr>
      <w:widowControl w:val="0"/>
      <w:autoSpaceDE w:val="0"/>
      <w:autoSpaceDN w:val="0"/>
      <w:adjustRightInd w:val="0"/>
    </w:pPr>
    <w:rPr>
      <w:rFonts w:ascii="Warnock Pro" w:hAnsi="Warnock Pro" w:cs="Warnock Pro"/>
      <w:color w:val="000000"/>
    </w:rPr>
  </w:style>
  <w:style w:type="character" w:styleId="PageNumber">
    <w:name w:val="page number"/>
    <w:basedOn w:val="DefaultParagraphFont"/>
    <w:uiPriority w:val="99"/>
    <w:semiHidden/>
    <w:unhideWhenUsed/>
    <w:rsid w:val="00BD31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01B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B6"/>
    <w:pPr>
      <w:tabs>
        <w:tab w:val="center" w:pos="4320"/>
        <w:tab w:val="right" w:pos="8640"/>
      </w:tabs>
    </w:pPr>
  </w:style>
  <w:style w:type="character" w:customStyle="1" w:styleId="HeaderChar">
    <w:name w:val="Header Char"/>
    <w:basedOn w:val="DefaultParagraphFont"/>
    <w:link w:val="Header"/>
    <w:uiPriority w:val="99"/>
    <w:rsid w:val="00785DB6"/>
  </w:style>
  <w:style w:type="paragraph" w:styleId="Footer">
    <w:name w:val="footer"/>
    <w:basedOn w:val="Normal"/>
    <w:link w:val="FooterChar"/>
    <w:uiPriority w:val="99"/>
    <w:unhideWhenUsed/>
    <w:rsid w:val="00785DB6"/>
    <w:pPr>
      <w:tabs>
        <w:tab w:val="center" w:pos="4320"/>
        <w:tab w:val="right" w:pos="8640"/>
      </w:tabs>
    </w:pPr>
  </w:style>
  <w:style w:type="character" w:customStyle="1" w:styleId="FooterChar">
    <w:name w:val="Footer Char"/>
    <w:basedOn w:val="DefaultParagraphFont"/>
    <w:link w:val="Footer"/>
    <w:uiPriority w:val="99"/>
    <w:rsid w:val="00785DB6"/>
  </w:style>
  <w:style w:type="table" w:styleId="TableGrid">
    <w:name w:val="Table Grid"/>
    <w:basedOn w:val="TableNormal"/>
    <w:uiPriority w:val="59"/>
    <w:rsid w:val="00785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6B46"/>
    <w:rPr>
      <w:color w:val="0000FF" w:themeColor="hyperlink"/>
      <w:u w:val="single"/>
    </w:rPr>
  </w:style>
  <w:style w:type="paragraph" w:styleId="ListParagraph">
    <w:name w:val="List Paragraph"/>
    <w:basedOn w:val="Normal"/>
    <w:uiPriority w:val="34"/>
    <w:qFormat/>
    <w:rsid w:val="000D3451"/>
    <w:pPr>
      <w:ind w:left="720"/>
      <w:contextualSpacing/>
    </w:pPr>
  </w:style>
  <w:style w:type="character" w:customStyle="1" w:styleId="apple-converted-space">
    <w:name w:val="apple-converted-space"/>
    <w:basedOn w:val="DefaultParagraphFont"/>
    <w:rsid w:val="00FB01B9"/>
  </w:style>
  <w:style w:type="character" w:customStyle="1" w:styleId="Heading3Char">
    <w:name w:val="Heading 3 Char"/>
    <w:basedOn w:val="DefaultParagraphFont"/>
    <w:link w:val="Heading3"/>
    <w:uiPriority w:val="9"/>
    <w:rsid w:val="00FB01B9"/>
    <w:rPr>
      <w:rFonts w:ascii="Times" w:hAnsi="Times"/>
      <w:b/>
      <w:bCs/>
      <w:sz w:val="27"/>
      <w:szCs w:val="27"/>
    </w:rPr>
  </w:style>
  <w:style w:type="character" w:styleId="Strong">
    <w:name w:val="Strong"/>
    <w:basedOn w:val="DefaultParagraphFont"/>
    <w:uiPriority w:val="22"/>
    <w:qFormat/>
    <w:rsid w:val="00F67245"/>
    <w:rPr>
      <w:b/>
      <w:bCs/>
    </w:rPr>
  </w:style>
  <w:style w:type="paragraph" w:customStyle="1" w:styleId="Default">
    <w:name w:val="Default"/>
    <w:rsid w:val="006E162F"/>
    <w:pPr>
      <w:widowControl w:val="0"/>
      <w:autoSpaceDE w:val="0"/>
      <w:autoSpaceDN w:val="0"/>
      <w:adjustRightInd w:val="0"/>
    </w:pPr>
    <w:rPr>
      <w:rFonts w:ascii="Warnock Pro" w:hAnsi="Warnock Pro" w:cs="Warnock Pro"/>
      <w:color w:val="000000"/>
    </w:rPr>
  </w:style>
  <w:style w:type="character" w:styleId="PageNumber">
    <w:name w:val="page number"/>
    <w:basedOn w:val="DefaultParagraphFont"/>
    <w:uiPriority w:val="99"/>
    <w:semiHidden/>
    <w:unhideWhenUsed/>
    <w:rsid w:val="00BD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249">
      <w:bodyDiv w:val="1"/>
      <w:marLeft w:val="0"/>
      <w:marRight w:val="0"/>
      <w:marTop w:val="0"/>
      <w:marBottom w:val="0"/>
      <w:divBdr>
        <w:top w:val="none" w:sz="0" w:space="0" w:color="auto"/>
        <w:left w:val="none" w:sz="0" w:space="0" w:color="auto"/>
        <w:bottom w:val="none" w:sz="0" w:space="0" w:color="auto"/>
        <w:right w:val="none" w:sz="0" w:space="0" w:color="auto"/>
      </w:divBdr>
    </w:div>
    <w:div w:id="80419457">
      <w:bodyDiv w:val="1"/>
      <w:marLeft w:val="0"/>
      <w:marRight w:val="0"/>
      <w:marTop w:val="0"/>
      <w:marBottom w:val="0"/>
      <w:divBdr>
        <w:top w:val="none" w:sz="0" w:space="0" w:color="auto"/>
        <w:left w:val="none" w:sz="0" w:space="0" w:color="auto"/>
        <w:bottom w:val="none" w:sz="0" w:space="0" w:color="auto"/>
        <w:right w:val="none" w:sz="0" w:space="0" w:color="auto"/>
      </w:divBdr>
    </w:div>
    <w:div w:id="459958729">
      <w:bodyDiv w:val="1"/>
      <w:marLeft w:val="0"/>
      <w:marRight w:val="0"/>
      <w:marTop w:val="0"/>
      <w:marBottom w:val="0"/>
      <w:divBdr>
        <w:top w:val="none" w:sz="0" w:space="0" w:color="auto"/>
        <w:left w:val="none" w:sz="0" w:space="0" w:color="auto"/>
        <w:bottom w:val="none" w:sz="0" w:space="0" w:color="auto"/>
        <w:right w:val="none" w:sz="0" w:space="0" w:color="auto"/>
      </w:divBdr>
    </w:div>
    <w:div w:id="961158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rtune.com/2015/04/13/corporate-wellness/" TargetMode="External"/><Relationship Id="rId20" Type="http://schemas.openxmlformats.org/officeDocument/2006/relationships/hyperlink" Target="http://www.bls.gov/ncs/ebs/benefits/2016/ownership_tab.ht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shrm.org/resourcesandtools/tools-and-samples/hr-qa/pages/wellnessprogramscontributingtotheemployer%E2%80%99sbottomline.aspx" TargetMode="External"/><Relationship Id="rId11" Type="http://schemas.openxmlformats.org/officeDocument/2006/relationships/hyperlink" Target="http://smallbusiness.findlaw.com/employment-law-and-human-resources/pro-and-cons-offering-employee-benefits.html" TargetMode="External"/><Relationship Id="rId12" Type="http://schemas.openxmlformats.org/officeDocument/2006/relationships/hyperlink" Target="https://www.dol.gov/whd/nursingmothers/Sec7rFLSA_btnm.htm" TargetMode="External"/><Relationship Id="rId13" Type="http://schemas.openxmlformats.org/officeDocument/2006/relationships/hyperlink" Target="https://www.dol.gov/whd/regs/compliance/whdfs73.htm" TargetMode="External"/><Relationship Id="rId14" Type="http://schemas.openxmlformats.org/officeDocument/2006/relationships/hyperlink" Target="https://www.womenshealth.gov/breastfeeding/employer-solutions/index.html" TargetMode="External"/><Relationship Id="rId15" Type="http://schemas.openxmlformats.org/officeDocument/2006/relationships/hyperlink" Target="https://www.womenshealth.gov/files/assets/docs/breastfeeding/employer-solutions/samplepolicy.pdf" TargetMode="External"/><Relationship Id="rId16" Type="http://schemas.openxmlformats.org/officeDocument/2006/relationships/hyperlink" Target="http://www.nationalpartnership.org/research-library/workplace-fairness/pregnancy-discrimination/reasonable-accommodations-for-pregnant-workers-state-laws.pdf" TargetMode="External"/><Relationship Id="rId17" Type="http://schemas.openxmlformats.org/officeDocument/2006/relationships/hyperlink" Target="https://www.whitehouse.gov/sites/default/files/docs/leave_report_final.pdf" TargetMode="External"/><Relationship Id="rId18" Type="http://schemas.openxmlformats.org/officeDocument/2006/relationships/hyperlink" Target="http://www.bizfilings.com/toolkit/sbg/office-hr/managing-the-workplace/offering-health-care-benefits.aspx" TargetMode="External"/><Relationship Id="rId19" Type="http://schemas.openxmlformats.org/officeDocument/2006/relationships/hyperlink" Target="https://womenemployed.org/sites/default/files/resources/YourRightsWhenYouArePregnant201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llbusiness.findlaw.com/employment-law-and-human-resources/pro-and-cons-offering-employee-benef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1727</Words>
  <Characters>9850</Characters>
  <Application>Microsoft Macintosh Word</Application>
  <DocSecurity>0</DocSecurity>
  <Lines>82</Lines>
  <Paragraphs>23</Paragraphs>
  <ScaleCrop>false</ScaleCrop>
  <Company>Apex Evaluation</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Skogerboe</dc:creator>
  <cp:keywords/>
  <dc:description/>
  <cp:lastModifiedBy>Natalie Skogerboe</cp:lastModifiedBy>
  <cp:revision>20</cp:revision>
  <dcterms:created xsi:type="dcterms:W3CDTF">2017-03-02T20:09:00Z</dcterms:created>
  <dcterms:modified xsi:type="dcterms:W3CDTF">2017-05-17T16:47:00Z</dcterms:modified>
</cp:coreProperties>
</file>